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D3070" w14:textId="44CFC446" w:rsidR="009960C8" w:rsidRPr="00835655" w:rsidRDefault="0088601D" w:rsidP="009960C8">
      <w:pPr>
        <w:rPr>
          <w:rFonts w:ascii="Arial" w:hAnsi="Arial" w:cs="Arial"/>
          <w:b/>
          <w:sz w:val="28"/>
          <w:szCs w:val="28"/>
        </w:rPr>
      </w:pPr>
      <w:r w:rsidRPr="00835655">
        <w:rPr>
          <w:rFonts w:ascii="Arial" w:hAnsi="Arial" w:cs="Arial"/>
          <w:b/>
          <w:sz w:val="28"/>
          <w:szCs w:val="28"/>
        </w:rPr>
        <w:t xml:space="preserve">3GPP TSG RAN WG1 Meeting </w:t>
      </w:r>
      <w:r w:rsidR="009960C8" w:rsidRPr="00835655">
        <w:rPr>
          <w:rFonts w:ascii="Arial" w:hAnsi="Arial" w:cs="Arial"/>
          <w:b/>
          <w:sz w:val="28"/>
          <w:szCs w:val="28"/>
        </w:rPr>
        <w:t>#9</w:t>
      </w:r>
      <w:r w:rsidR="00242A09">
        <w:rPr>
          <w:rFonts w:ascii="Arial" w:hAnsi="Arial" w:cs="Arial"/>
          <w:b/>
          <w:sz w:val="28"/>
          <w:szCs w:val="28"/>
        </w:rPr>
        <w:t>9</w:t>
      </w:r>
      <w:r w:rsidR="009960C8">
        <w:rPr>
          <w:rFonts w:ascii="Arial" w:hAnsi="Arial" w:cs="Arial"/>
          <w:b/>
          <w:sz w:val="28"/>
          <w:szCs w:val="28"/>
        </w:rPr>
        <w:tab/>
      </w:r>
      <w:r w:rsidR="009960C8">
        <w:rPr>
          <w:rFonts w:ascii="Arial" w:hAnsi="Arial" w:cs="Arial"/>
          <w:b/>
          <w:sz w:val="28"/>
          <w:szCs w:val="28"/>
        </w:rPr>
        <w:tab/>
      </w:r>
      <w:r w:rsidR="009960C8" w:rsidRPr="00835655">
        <w:rPr>
          <w:rFonts w:ascii="Arial" w:hAnsi="Arial" w:cs="Arial"/>
          <w:b/>
          <w:sz w:val="28"/>
          <w:szCs w:val="28"/>
        </w:rPr>
        <w:tab/>
      </w:r>
      <w:r w:rsidR="009960C8" w:rsidRPr="00835655">
        <w:rPr>
          <w:rFonts w:ascii="Arial" w:hAnsi="Arial" w:cs="Arial"/>
          <w:b/>
          <w:sz w:val="28"/>
          <w:szCs w:val="28"/>
        </w:rPr>
        <w:tab/>
      </w:r>
      <w:r w:rsidR="009960C8" w:rsidRPr="00835655">
        <w:rPr>
          <w:rFonts w:ascii="Arial" w:hAnsi="Arial" w:cs="Arial"/>
          <w:b/>
          <w:sz w:val="28"/>
          <w:szCs w:val="28"/>
        </w:rPr>
        <w:tab/>
      </w:r>
      <w:r w:rsidR="009960C8" w:rsidRPr="00835655">
        <w:rPr>
          <w:rFonts w:ascii="Arial" w:hAnsi="Arial" w:cs="Arial"/>
          <w:b/>
          <w:sz w:val="28"/>
          <w:szCs w:val="28"/>
        </w:rPr>
        <w:tab/>
      </w:r>
      <w:r w:rsidR="009960C8" w:rsidRPr="00835655">
        <w:rPr>
          <w:rFonts w:ascii="Arial" w:hAnsi="Arial" w:cs="Arial"/>
          <w:b/>
          <w:sz w:val="28"/>
          <w:szCs w:val="28"/>
        </w:rPr>
        <w:tab/>
      </w:r>
      <w:r w:rsidR="009960C8" w:rsidRPr="00835655">
        <w:rPr>
          <w:rFonts w:ascii="Arial" w:hAnsi="Arial" w:cs="Arial"/>
          <w:b/>
          <w:sz w:val="28"/>
          <w:szCs w:val="28"/>
        </w:rPr>
        <w:tab/>
      </w:r>
      <w:r w:rsidR="009960C8" w:rsidRPr="00835655">
        <w:rPr>
          <w:rFonts w:ascii="Arial" w:hAnsi="Arial" w:cs="Arial"/>
          <w:b/>
          <w:sz w:val="28"/>
          <w:szCs w:val="28"/>
        </w:rPr>
        <w:tab/>
      </w:r>
      <w:r w:rsidR="009960C8" w:rsidRPr="00835655">
        <w:rPr>
          <w:rFonts w:ascii="Arial" w:hAnsi="Arial" w:cs="Arial"/>
          <w:b/>
          <w:sz w:val="28"/>
          <w:szCs w:val="28"/>
        </w:rPr>
        <w:tab/>
      </w:r>
      <w:r w:rsidR="009960C8" w:rsidRPr="00835655">
        <w:rPr>
          <w:rFonts w:ascii="Arial" w:hAnsi="Arial" w:cs="Arial"/>
          <w:b/>
          <w:sz w:val="28"/>
          <w:szCs w:val="28"/>
        </w:rPr>
        <w:tab/>
      </w:r>
      <w:r w:rsidR="00242A09">
        <w:rPr>
          <w:rFonts w:ascii="Arial" w:hAnsi="Arial" w:cs="Arial"/>
          <w:b/>
          <w:sz w:val="28"/>
          <w:szCs w:val="28"/>
        </w:rPr>
        <w:tab/>
      </w:r>
      <w:r w:rsidR="00242A09">
        <w:rPr>
          <w:rFonts w:ascii="Arial" w:hAnsi="Arial" w:cs="Arial"/>
          <w:b/>
          <w:sz w:val="28"/>
          <w:szCs w:val="28"/>
        </w:rPr>
        <w:tab/>
        <w:t xml:space="preserve"> </w:t>
      </w:r>
      <w:r w:rsidR="002F3930" w:rsidRPr="002F3930">
        <w:rPr>
          <w:rFonts w:ascii="Arial" w:hAnsi="Arial" w:cs="Arial"/>
          <w:b/>
          <w:sz w:val="28"/>
          <w:szCs w:val="28"/>
        </w:rPr>
        <w:t>R1-1912691</w:t>
      </w:r>
      <w:bookmarkStart w:id="0" w:name="_GoBack"/>
      <w:bookmarkEnd w:id="0"/>
    </w:p>
    <w:p w14:paraId="76680111" w14:textId="099E6EDD" w:rsidR="0088601D" w:rsidRPr="00835655" w:rsidRDefault="00577487" w:rsidP="009960C8">
      <w:pPr>
        <w:rPr>
          <w:rFonts w:ascii="Arial" w:hAnsi="Arial" w:cs="Arial"/>
          <w:b/>
          <w:sz w:val="28"/>
          <w:szCs w:val="28"/>
        </w:rPr>
      </w:pPr>
      <w:r>
        <w:rPr>
          <w:rFonts w:ascii="Arial" w:eastAsia="MS Mincho" w:hAnsi="Arial" w:cs="Arial"/>
          <w:b/>
          <w:bCs/>
          <w:sz w:val="28"/>
          <w:lang w:eastAsia="ja-JP"/>
        </w:rPr>
        <w:t>Reno</w:t>
      </w:r>
      <w:r w:rsidR="009960C8">
        <w:rPr>
          <w:rFonts w:ascii="Arial" w:eastAsia="MS Mincho" w:hAnsi="Arial" w:cs="Arial"/>
          <w:b/>
          <w:bCs/>
          <w:sz w:val="28"/>
          <w:lang w:eastAsia="ja-JP"/>
        </w:rPr>
        <w:t xml:space="preserve">, </w:t>
      </w:r>
      <w:r>
        <w:rPr>
          <w:rFonts w:ascii="Arial" w:eastAsia="MS Mincho" w:hAnsi="Arial" w:cs="Arial"/>
          <w:b/>
          <w:bCs/>
          <w:sz w:val="28"/>
          <w:lang w:eastAsia="ja-JP"/>
        </w:rPr>
        <w:t>USA</w:t>
      </w:r>
      <w:r w:rsidR="009960C8">
        <w:rPr>
          <w:rFonts w:ascii="Arial" w:eastAsia="MS Mincho" w:hAnsi="Arial" w:cs="Arial"/>
          <w:b/>
          <w:bCs/>
          <w:sz w:val="28"/>
          <w:lang w:eastAsia="ja-JP"/>
        </w:rPr>
        <w:t xml:space="preserve">, </w:t>
      </w:r>
      <w:r>
        <w:rPr>
          <w:rFonts w:ascii="Arial" w:eastAsia="MS Mincho" w:hAnsi="Arial" w:cs="Arial"/>
          <w:b/>
          <w:bCs/>
          <w:sz w:val="28"/>
          <w:lang w:eastAsia="ja-JP"/>
        </w:rPr>
        <w:t>November</w:t>
      </w:r>
      <w:r w:rsidR="009960C8">
        <w:rPr>
          <w:rFonts w:ascii="Arial" w:eastAsia="MS Mincho" w:hAnsi="Arial" w:cs="Arial"/>
          <w:b/>
          <w:bCs/>
          <w:sz w:val="28"/>
          <w:lang w:eastAsia="ja-JP"/>
        </w:rPr>
        <w:t xml:space="preserve"> </w:t>
      </w:r>
      <w:r w:rsidR="007D7338">
        <w:rPr>
          <w:rFonts w:ascii="Arial" w:eastAsia="MS Mincho" w:hAnsi="Arial" w:cs="Arial"/>
          <w:b/>
          <w:bCs/>
          <w:sz w:val="28"/>
          <w:lang w:eastAsia="ja-JP"/>
        </w:rPr>
        <w:t>1</w:t>
      </w:r>
      <w:r>
        <w:rPr>
          <w:rFonts w:ascii="Arial" w:eastAsia="MS Mincho" w:hAnsi="Arial" w:cs="Arial"/>
          <w:b/>
          <w:bCs/>
          <w:sz w:val="28"/>
          <w:lang w:eastAsia="ja-JP"/>
        </w:rPr>
        <w:t>8</w:t>
      </w:r>
      <w:r w:rsidR="009960C8" w:rsidRPr="006B19B1">
        <w:rPr>
          <w:rFonts w:ascii="Arial" w:eastAsia="MS Mincho" w:hAnsi="Arial" w:cs="Arial"/>
          <w:b/>
          <w:bCs/>
          <w:sz w:val="28"/>
          <w:vertAlign w:val="superscript"/>
          <w:lang w:eastAsia="ja-JP"/>
        </w:rPr>
        <w:t>th</w:t>
      </w:r>
      <w:r w:rsidR="009960C8">
        <w:rPr>
          <w:rFonts w:ascii="Arial" w:eastAsia="MS Mincho" w:hAnsi="Arial" w:cs="Arial"/>
          <w:b/>
          <w:bCs/>
          <w:sz w:val="28"/>
          <w:lang w:eastAsia="ja-JP"/>
        </w:rPr>
        <w:t xml:space="preserve"> – </w:t>
      </w:r>
      <w:r w:rsidR="007D7338">
        <w:rPr>
          <w:rFonts w:ascii="Arial" w:eastAsia="MS Mincho" w:hAnsi="Arial" w:cs="Arial"/>
          <w:b/>
          <w:bCs/>
          <w:sz w:val="28"/>
          <w:lang w:eastAsia="ja-JP"/>
        </w:rPr>
        <w:t>2</w:t>
      </w:r>
      <w:r>
        <w:rPr>
          <w:rFonts w:ascii="Arial" w:eastAsia="MS Mincho" w:hAnsi="Arial" w:cs="Arial"/>
          <w:b/>
          <w:bCs/>
          <w:sz w:val="28"/>
          <w:lang w:eastAsia="ja-JP"/>
        </w:rPr>
        <w:t>2</w:t>
      </w:r>
      <w:r>
        <w:rPr>
          <w:rFonts w:ascii="Arial" w:eastAsia="MS Mincho" w:hAnsi="Arial" w:cs="Arial"/>
          <w:b/>
          <w:bCs/>
          <w:sz w:val="28"/>
          <w:vertAlign w:val="superscript"/>
          <w:lang w:eastAsia="ja-JP"/>
        </w:rPr>
        <w:t>nd</w:t>
      </w:r>
      <w:r w:rsidR="009960C8">
        <w:rPr>
          <w:rFonts w:ascii="Arial" w:eastAsia="MS Mincho" w:hAnsi="Arial" w:cs="Arial"/>
          <w:b/>
          <w:bCs/>
          <w:sz w:val="28"/>
          <w:lang w:eastAsia="ja-JP"/>
        </w:rPr>
        <w:t>, 2019</w:t>
      </w:r>
    </w:p>
    <w:p w14:paraId="0EFDD4DA" w14:textId="77777777" w:rsidR="0088601D" w:rsidRPr="00835655" w:rsidRDefault="0088601D" w:rsidP="0088601D">
      <w:pPr>
        <w:rPr>
          <w:rFonts w:ascii="Arial" w:hAnsi="Arial" w:cs="Arial"/>
          <w:b/>
          <w:sz w:val="24"/>
          <w:szCs w:val="24"/>
        </w:rPr>
      </w:pPr>
      <w:r w:rsidRPr="00835655">
        <w:rPr>
          <w:rFonts w:ascii="Arial" w:hAnsi="Arial" w:cs="Arial"/>
          <w:b/>
          <w:sz w:val="24"/>
          <w:szCs w:val="24"/>
        </w:rPr>
        <w:tab/>
      </w:r>
    </w:p>
    <w:p w14:paraId="3ADB636C" w14:textId="77777777" w:rsidR="0088601D" w:rsidRPr="00835655" w:rsidRDefault="00060C1A" w:rsidP="0088601D">
      <w:pPr>
        <w:rPr>
          <w:rFonts w:ascii="Arial" w:hAnsi="Arial" w:cs="Arial"/>
          <w:b/>
          <w:sz w:val="24"/>
          <w:szCs w:val="24"/>
        </w:rPr>
      </w:pPr>
      <w:r w:rsidRPr="00835655">
        <w:rPr>
          <w:rFonts w:ascii="Arial" w:hAnsi="Arial" w:cs="Arial"/>
          <w:b/>
          <w:sz w:val="24"/>
          <w:szCs w:val="24"/>
        </w:rPr>
        <w:t>Agenda item:</w:t>
      </w:r>
      <w:r w:rsidRPr="00835655">
        <w:rPr>
          <w:rFonts w:ascii="Arial" w:hAnsi="Arial" w:cs="Arial"/>
          <w:b/>
          <w:sz w:val="24"/>
          <w:szCs w:val="24"/>
        </w:rPr>
        <w:tab/>
      </w:r>
      <w:r w:rsidR="008E1C7D" w:rsidRPr="00583F08">
        <w:rPr>
          <w:rFonts w:ascii="Arial" w:hAnsi="Arial" w:cs="Arial"/>
          <w:bCs/>
          <w:sz w:val="24"/>
          <w:szCs w:val="24"/>
        </w:rPr>
        <w:t>6.2.4.</w:t>
      </w:r>
      <w:r w:rsidR="00656255">
        <w:rPr>
          <w:rFonts w:ascii="Arial" w:hAnsi="Arial" w:cs="Arial"/>
          <w:bCs/>
          <w:sz w:val="24"/>
          <w:szCs w:val="24"/>
        </w:rPr>
        <w:t>2</w:t>
      </w:r>
    </w:p>
    <w:p w14:paraId="0D81F0DE" w14:textId="77777777" w:rsidR="0088601D" w:rsidRPr="00835655" w:rsidRDefault="0088601D" w:rsidP="006258C2">
      <w:pPr>
        <w:rPr>
          <w:rFonts w:ascii="Arial" w:hAnsi="Arial" w:cs="Arial"/>
          <w:sz w:val="24"/>
          <w:szCs w:val="24"/>
        </w:rPr>
      </w:pPr>
      <w:r w:rsidRPr="00835655">
        <w:rPr>
          <w:rFonts w:ascii="Arial" w:hAnsi="Arial" w:cs="Arial"/>
          <w:b/>
          <w:sz w:val="24"/>
          <w:szCs w:val="24"/>
        </w:rPr>
        <w:t xml:space="preserve">Source: </w:t>
      </w:r>
      <w:r w:rsidRPr="00835655">
        <w:rPr>
          <w:rFonts w:ascii="Arial" w:hAnsi="Arial" w:cs="Arial"/>
          <w:b/>
          <w:sz w:val="24"/>
          <w:szCs w:val="24"/>
        </w:rPr>
        <w:tab/>
      </w:r>
      <w:r w:rsidR="00060C1A" w:rsidRPr="00835655">
        <w:rPr>
          <w:rFonts w:ascii="Arial" w:hAnsi="Arial" w:cs="Arial"/>
          <w:b/>
          <w:sz w:val="24"/>
          <w:szCs w:val="24"/>
        </w:rPr>
        <w:tab/>
      </w:r>
      <w:r w:rsidR="00060C1A" w:rsidRPr="00835655">
        <w:rPr>
          <w:rFonts w:ascii="Arial" w:hAnsi="Arial" w:cs="Arial"/>
          <w:b/>
          <w:sz w:val="24"/>
          <w:szCs w:val="24"/>
        </w:rPr>
        <w:tab/>
      </w:r>
      <w:r w:rsidR="0076518E">
        <w:rPr>
          <w:rFonts w:ascii="Arial" w:hAnsi="Arial" w:cs="Arial"/>
          <w:sz w:val="24"/>
          <w:szCs w:val="24"/>
        </w:rPr>
        <w:t>Qualcomm Incorporated</w:t>
      </w:r>
    </w:p>
    <w:p w14:paraId="4D0224D4" w14:textId="77777777" w:rsidR="007A7A50" w:rsidRDefault="00060C1A" w:rsidP="0004410E">
      <w:pPr>
        <w:ind w:left="1704" w:hanging="1704"/>
        <w:rPr>
          <w:rFonts w:ascii="Arial" w:hAnsi="Arial" w:cs="Arial"/>
          <w:sz w:val="24"/>
          <w:szCs w:val="24"/>
        </w:rPr>
      </w:pPr>
      <w:r w:rsidRPr="00835655">
        <w:rPr>
          <w:rFonts w:ascii="Arial" w:hAnsi="Arial" w:cs="Arial"/>
          <w:b/>
          <w:sz w:val="24"/>
          <w:szCs w:val="24"/>
        </w:rPr>
        <w:t>Title:</w:t>
      </w:r>
      <w:r w:rsidRPr="00835655">
        <w:rPr>
          <w:rFonts w:ascii="Arial" w:hAnsi="Arial" w:cs="Arial"/>
          <w:b/>
          <w:sz w:val="24"/>
          <w:szCs w:val="24"/>
        </w:rPr>
        <w:tab/>
      </w:r>
      <w:r w:rsidR="00656255">
        <w:rPr>
          <w:rFonts w:ascii="Arial" w:hAnsi="Arial" w:cs="Arial"/>
          <w:bCs/>
          <w:sz w:val="24"/>
          <w:szCs w:val="24"/>
        </w:rPr>
        <w:t>Analysis of CAS reception</w:t>
      </w:r>
    </w:p>
    <w:p w14:paraId="664BAAFC" w14:textId="77777777" w:rsidR="0088601D" w:rsidRPr="00835655" w:rsidRDefault="0088601D" w:rsidP="0088601D">
      <w:pPr>
        <w:rPr>
          <w:rFonts w:ascii="Arial" w:hAnsi="Arial" w:cs="Arial"/>
          <w:b/>
          <w:sz w:val="24"/>
          <w:szCs w:val="24"/>
        </w:rPr>
      </w:pPr>
      <w:r w:rsidRPr="00835655">
        <w:rPr>
          <w:rFonts w:ascii="Arial" w:hAnsi="Arial" w:cs="Arial"/>
          <w:b/>
          <w:sz w:val="24"/>
          <w:szCs w:val="24"/>
        </w:rPr>
        <w:t>Document for:</w:t>
      </w:r>
      <w:r w:rsidRPr="00835655">
        <w:rPr>
          <w:rFonts w:ascii="Arial" w:hAnsi="Arial" w:cs="Arial"/>
          <w:b/>
          <w:sz w:val="24"/>
          <w:szCs w:val="24"/>
        </w:rPr>
        <w:tab/>
      </w:r>
      <w:r w:rsidRPr="00835655">
        <w:rPr>
          <w:rFonts w:ascii="Arial" w:hAnsi="Arial" w:cs="Arial"/>
          <w:sz w:val="24"/>
          <w:szCs w:val="24"/>
        </w:rPr>
        <w:t>Discussion</w:t>
      </w:r>
      <w:r w:rsidR="00AE506C">
        <w:rPr>
          <w:rFonts w:ascii="Arial" w:hAnsi="Arial" w:cs="Arial"/>
          <w:sz w:val="24"/>
          <w:szCs w:val="24"/>
        </w:rPr>
        <w:t xml:space="preserve"> and decision</w:t>
      </w:r>
    </w:p>
    <w:p w14:paraId="7FEB7ACE" w14:textId="77777777" w:rsidR="0088601D" w:rsidRPr="00835655" w:rsidRDefault="0088601D" w:rsidP="0088601D">
      <w:pPr>
        <w:pStyle w:val="Heading1"/>
      </w:pPr>
      <w:r w:rsidRPr="00835655">
        <w:t>1</w:t>
      </w:r>
      <w:r w:rsidRPr="00835655">
        <w:tab/>
        <w:t>Introduction</w:t>
      </w:r>
    </w:p>
    <w:p w14:paraId="07D33B4F" w14:textId="77777777" w:rsidR="00900EE5" w:rsidRDefault="009A01BC" w:rsidP="00B940A7">
      <w:pPr>
        <w:jc w:val="both"/>
      </w:pPr>
      <w:r>
        <w:t>In RAN1#9</w:t>
      </w:r>
      <w:r w:rsidR="00900EE5">
        <w:t>8</w:t>
      </w:r>
      <w:r>
        <w:t>,</w:t>
      </w:r>
      <w:r w:rsidR="00122B76">
        <w:t xml:space="preserve"> </w:t>
      </w:r>
      <w:r w:rsidR="00900EE5">
        <w:t>the following agreements were made [1]:</w:t>
      </w:r>
    </w:p>
    <w:p w14:paraId="4D96EC96" w14:textId="77777777" w:rsidR="00900EE5" w:rsidRPr="00900EE5" w:rsidRDefault="00900EE5" w:rsidP="00900EE5">
      <w:pPr>
        <w:rPr>
          <w:i/>
          <w:iCs/>
          <w:lang w:eastAsia="x-none"/>
        </w:rPr>
      </w:pPr>
      <w:r w:rsidRPr="00900EE5">
        <w:rPr>
          <w:i/>
          <w:iCs/>
          <w:lang w:eastAsia="x-none"/>
        </w:rPr>
        <w:t xml:space="preserve">PDCCH reception in CAS is enhanced by </w:t>
      </w:r>
      <w:r>
        <w:rPr>
          <w:i/>
          <w:iCs/>
          <w:lang w:eastAsia="x-none"/>
        </w:rPr>
        <w:t>…</w:t>
      </w:r>
      <w:r w:rsidRPr="00900EE5">
        <w:rPr>
          <w:i/>
          <w:iCs/>
          <w:lang w:eastAsia="x-none"/>
        </w:rPr>
        <w:t xml:space="preserve"> one of the following: </w:t>
      </w:r>
    </w:p>
    <w:p w14:paraId="31FF1ABF" w14:textId="77777777" w:rsidR="00900EE5" w:rsidRPr="00900EE5" w:rsidRDefault="00900EE5" w:rsidP="00900EE5">
      <w:pPr>
        <w:pStyle w:val="B1"/>
        <w:rPr>
          <w:i/>
          <w:iCs/>
        </w:rPr>
      </w:pPr>
      <w:r w:rsidRPr="00900EE5">
        <w:rPr>
          <w:i/>
          <w:iCs/>
        </w:rPr>
        <w:t>-</w:t>
      </w:r>
      <w:r w:rsidRPr="00900EE5">
        <w:rPr>
          <w:i/>
          <w:iCs/>
        </w:rPr>
        <w:tab/>
        <w:t>Aggregation level 16</w:t>
      </w:r>
    </w:p>
    <w:p w14:paraId="22B1EC94" w14:textId="77777777" w:rsidR="00900EE5" w:rsidRPr="00900EE5" w:rsidRDefault="00900EE5" w:rsidP="00900EE5">
      <w:pPr>
        <w:pStyle w:val="B1"/>
        <w:rPr>
          <w:i/>
          <w:iCs/>
        </w:rPr>
      </w:pPr>
      <w:r w:rsidRPr="00900EE5">
        <w:rPr>
          <w:i/>
          <w:iCs/>
        </w:rPr>
        <w:t>-</w:t>
      </w:r>
      <w:r w:rsidRPr="00900EE5">
        <w:rPr>
          <w:i/>
          <w:iCs/>
        </w:rPr>
        <w:tab/>
        <w:t>Repetition of aggregation level 8, e.g. time/frequency domain repetition</w:t>
      </w:r>
    </w:p>
    <w:p w14:paraId="1ECD9F6B" w14:textId="77777777" w:rsidR="00900EE5" w:rsidRDefault="00900EE5" w:rsidP="0094102B">
      <w:pPr>
        <w:pStyle w:val="B1"/>
        <w:rPr>
          <w:i/>
          <w:iCs/>
        </w:rPr>
      </w:pPr>
      <w:r w:rsidRPr="00900EE5">
        <w:rPr>
          <w:i/>
          <w:iCs/>
        </w:rPr>
        <w:t>Note: Only one of the above options can be supported</w:t>
      </w:r>
    </w:p>
    <w:p w14:paraId="51698172" w14:textId="77777777" w:rsidR="0094102B" w:rsidRPr="0094102B" w:rsidRDefault="0094102B" w:rsidP="0094102B">
      <w:pPr>
        <w:pStyle w:val="B1"/>
        <w:ind w:left="0" w:firstLine="0"/>
        <w:rPr>
          <w:i/>
          <w:iCs/>
        </w:rPr>
      </w:pPr>
    </w:p>
    <w:p w14:paraId="5797C762" w14:textId="77777777" w:rsidR="00900EE5" w:rsidRPr="00900EE5" w:rsidRDefault="00900EE5" w:rsidP="00900EE5">
      <w:pPr>
        <w:rPr>
          <w:i/>
          <w:iCs/>
          <w:lang w:eastAsia="x-none"/>
        </w:rPr>
      </w:pPr>
      <w:r w:rsidRPr="00900EE5">
        <w:rPr>
          <w:i/>
          <w:iCs/>
          <w:lang w:eastAsia="x-none"/>
        </w:rPr>
        <w:t>Enhance PBCH reception with the provision of additional REs for PBCH, e.g., PBCH repetition.</w:t>
      </w:r>
    </w:p>
    <w:p w14:paraId="74C8D3B0" w14:textId="77777777" w:rsidR="00900EE5" w:rsidRPr="00900EE5" w:rsidRDefault="00900EE5" w:rsidP="00900EE5">
      <w:pPr>
        <w:pStyle w:val="B1"/>
        <w:rPr>
          <w:i/>
          <w:iCs/>
        </w:rPr>
      </w:pPr>
      <w:r w:rsidRPr="00900EE5">
        <w:rPr>
          <w:i/>
          <w:iCs/>
        </w:rPr>
        <w:t>FFS: Details for PBCH repetition</w:t>
      </w:r>
    </w:p>
    <w:p w14:paraId="576E0604" w14:textId="77777777" w:rsidR="00227662" w:rsidRPr="00C70943" w:rsidRDefault="0077679C" w:rsidP="00B940A7">
      <w:pPr>
        <w:jc w:val="both"/>
      </w:pPr>
      <w:r>
        <w:t xml:space="preserve">In this contribution, </w:t>
      </w:r>
      <w:r w:rsidR="009B1E65">
        <w:t xml:space="preserve">we </w:t>
      </w:r>
      <w:r w:rsidR="00900EE5">
        <w:t xml:space="preserve">provide our proposals for the above enhancements to PDCCH and PBCH. We also provide the evaluation results for the PDSCH reception. </w:t>
      </w:r>
      <w:r w:rsidR="009B1E65">
        <w:t xml:space="preserve"> </w:t>
      </w:r>
    </w:p>
    <w:p w14:paraId="32E9A3B1" w14:textId="01FD4769" w:rsidR="00ED542C" w:rsidRDefault="00336B4E" w:rsidP="00160974">
      <w:pPr>
        <w:pStyle w:val="Heading1"/>
      </w:pPr>
      <w:r>
        <w:t>2</w:t>
      </w:r>
      <w:r w:rsidR="00714EAD">
        <w:tab/>
      </w:r>
      <w:r w:rsidR="00900EE5">
        <w:t xml:space="preserve">PBCH </w:t>
      </w:r>
      <w:r w:rsidR="00893449">
        <w:t>enhancements</w:t>
      </w:r>
    </w:p>
    <w:p w14:paraId="483987C8" w14:textId="15C06D4B" w:rsidR="0094102B" w:rsidRDefault="00A67309" w:rsidP="0045299E">
      <w:r>
        <w:rPr>
          <w:lang w:val="en-US" w:eastAsia="en-US"/>
        </w:rPr>
        <w:t xml:space="preserve">In </w:t>
      </w:r>
      <w:r w:rsidR="00EC4028">
        <w:rPr>
          <w:lang w:val="en-US" w:eastAsia="en-US"/>
        </w:rPr>
        <w:t>this section</w:t>
      </w:r>
      <w:r>
        <w:rPr>
          <w:lang w:val="en-US" w:eastAsia="en-US"/>
        </w:rPr>
        <w:t xml:space="preserve">, </w:t>
      </w:r>
      <w:r w:rsidR="0094102B">
        <w:rPr>
          <w:lang w:val="en-US" w:eastAsia="en-US"/>
        </w:rPr>
        <w:t xml:space="preserve">provide the detailed proposal for the </w:t>
      </w:r>
      <w:r w:rsidR="0045299E">
        <w:rPr>
          <w:lang w:val="en-US" w:eastAsia="en-US"/>
        </w:rPr>
        <w:t>PBCH</w:t>
      </w:r>
      <w:r w:rsidR="0054411A">
        <w:rPr>
          <w:lang w:val="en-US" w:eastAsia="en-US"/>
        </w:rPr>
        <w:t xml:space="preserve"> symbol</w:t>
      </w:r>
      <w:r w:rsidR="0045299E">
        <w:rPr>
          <w:lang w:val="en-US" w:eastAsia="en-US"/>
        </w:rPr>
        <w:t xml:space="preserve"> repetition</w:t>
      </w:r>
      <w:r w:rsidR="0054411A">
        <w:rPr>
          <w:lang w:val="en-US" w:eastAsia="en-US"/>
        </w:rPr>
        <w:t>s</w:t>
      </w:r>
      <w:r w:rsidR="0045299E">
        <w:rPr>
          <w:lang w:val="en-US" w:eastAsia="en-US"/>
        </w:rPr>
        <w:t xml:space="preserve"> </w:t>
      </w:r>
      <w:r w:rsidR="0094102B">
        <w:t>that improve</w:t>
      </w:r>
      <w:r w:rsidR="0045299E">
        <w:t>s</w:t>
      </w:r>
      <w:r w:rsidR="0094102B">
        <w:t xml:space="preserve"> </w:t>
      </w:r>
      <w:r w:rsidR="0045299E">
        <w:t xml:space="preserve">both the </w:t>
      </w:r>
      <w:r w:rsidR="0094102B">
        <w:t>CAS PBCH detection as well as</w:t>
      </w:r>
      <w:r w:rsidR="0054411A">
        <w:t xml:space="preserve"> facilitating enhanced</w:t>
      </w:r>
      <w:r w:rsidR="0045299E">
        <w:t xml:space="preserve"> </w:t>
      </w:r>
      <w:r w:rsidR="0094102B">
        <w:t>frequency tracking</w:t>
      </w:r>
      <w:r w:rsidR="0054411A">
        <w:t xml:space="preserve"> at the UE</w:t>
      </w:r>
      <w:r w:rsidR="0045299E">
        <w:t>.</w:t>
      </w:r>
      <w:r w:rsidR="0094102B">
        <w:t xml:space="preserve"> </w:t>
      </w:r>
      <w:r w:rsidR="0045299E">
        <w:t xml:space="preserve">Our proposal is based on the PBCH repetition adopted </w:t>
      </w:r>
      <w:r w:rsidR="0094102B">
        <w:t xml:space="preserve">for LTE-MTC, with </w:t>
      </w:r>
      <w:r w:rsidR="0054411A">
        <w:t>some</w:t>
      </w:r>
      <w:r w:rsidR="0094102B">
        <w:t xml:space="preserve"> subtle differences. The key difference with respect to PBCH repetitions in LTE-MTC is that for the CAS in MBMS, we are in an “interference-limited” regime—one where interference randomization is critical to achieving good performance.</w:t>
      </w:r>
      <w:r w:rsidR="00D40069">
        <w:t xml:space="preserve"> The issue of interference randomization was discussed multiple times in the past in 3GPP in the context of NB-IoT (e.g. [4,5]), where it was observed that pure repetition leads to unacceptable performance degradation in the presence of interference.</w:t>
      </w:r>
      <w:r w:rsidR="0094102B">
        <w:t xml:space="preserve"> </w:t>
      </w:r>
    </w:p>
    <w:p w14:paraId="5BF115BC" w14:textId="77777777" w:rsidR="0045299E" w:rsidRDefault="0045299E" w:rsidP="0094102B">
      <w:r>
        <w:t xml:space="preserve">Figure 1 shows the subframe structure </w:t>
      </w:r>
      <w:r w:rsidR="0054411A">
        <w:t>at</w:t>
      </w:r>
      <w:r>
        <w:t xml:space="preserve"> </w:t>
      </w:r>
      <w:r w:rsidR="0054411A">
        <w:t xml:space="preserve">an RB within </w:t>
      </w:r>
      <w:r>
        <w:t>the centr</w:t>
      </w:r>
      <w:r w:rsidR="0054411A">
        <w:t>e</w:t>
      </w:r>
      <w:r>
        <w:t xml:space="preserve"> 6 RBs.</w:t>
      </w:r>
      <w:r w:rsidR="0054411A">
        <w:t xml:space="preserve"> The corresponding symbol notations used in the exposition are also mentioned in Figure 1.</w:t>
      </w:r>
      <w:r>
        <w:t xml:space="preserve"> </w:t>
      </w:r>
    </w:p>
    <w:p w14:paraId="4ADBB872" w14:textId="77777777" w:rsidR="0094102B" w:rsidRDefault="001A30A6" w:rsidP="0094102B">
      <w:pPr>
        <w:jc w:val="center"/>
      </w:pPr>
      <w:r w:rsidRPr="00E7138A">
        <w:rPr>
          <w:noProof/>
        </w:rPr>
        <w:lastRenderedPageBreak/>
        <w:drawing>
          <wp:inline distT="0" distB="0" distL="0" distR="0" wp14:anchorId="40A91BCA" wp14:editId="329BDFFD">
            <wp:extent cx="4057650" cy="29718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57650" cy="2971800"/>
                    </a:xfrm>
                    <a:prstGeom prst="rect">
                      <a:avLst/>
                    </a:prstGeom>
                    <a:noFill/>
                    <a:ln>
                      <a:noFill/>
                    </a:ln>
                  </pic:spPr>
                </pic:pic>
              </a:graphicData>
            </a:graphic>
          </wp:inline>
        </w:drawing>
      </w:r>
    </w:p>
    <w:p w14:paraId="6A3FBD83" w14:textId="77777777" w:rsidR="0045299E" w:rsidRDefault="003A30AD" w:rsidP="003A30AD">
      <w:pPr>
        <w:pStyle w:val="Caption"/>
        <w:jc w:val="center"/>
      </w:pPr>
      <w:bookmarkStart w:id="1" w:name="_Ref15408470"/>
      <w:r>
        <w:t xml:space="preserve">Figure </w:t>
      </w:r>
      <w:r>
        <w:rPr>
          <w:noProof/>
        </w:rPr>
        <w:t>1</w:t>
      </w:r>
      <w:bookmarkEnd w:id="1"/>
      <w:r>
        <w:t>: PBCH repetition framework</w:t>
      </w:r>
    </w:p>
    <w:p w14:paraId="2A562B19" w14:textId="77777777" w:rsidR="0045299E" w:rsidRDefault="0054411A" w:rsidP="0094102B">
      <w:r>
        <w:t>For PBCH symbol repetitions, w</w:t>
      </w:r>
      <w:r w:rsidR="0045299E">
        <w:t xml:space="preserve">e </w:t>
      </w:r>
      <w:r>
        <w:t>must satisfy</w:t>
      </w:r>
      <w:r w:rsidR="0045299E">
        <w:t xml:space="preserve"> the </w:t>
      </w:r>
      <w:r w:rsidR="0094102B">
        <w:t>following constraints</w:t>
      </w:r>
      <w:r w:rsidR="0045299E">
        <w:t>:</w:t>
      </w:r>
    </w:p>
    <w:p w14:paraId="46C0361F" w14:textId="77777777" w:rsidR="0045299E" w:rsidRDefault="0045299E" w:rsidP="0045299E">
      <w:pPr>
        <w:pStyle w:val="B1"/>
      </w:pPr>
      <w:r>
        <w:t>1.</w:t>
      </w:r>
      <w:r>
        <w:tab/>
      </w:r>
      <w:r w:rsidR="0094102B">
        <w:t>PBCH symbols</w:t>
      </w:r>
      <w:r>
        <w:t xml:space="preserve"> {</w:t>
      </w:r>
      <w:r w:rsidRPr="0045299E">
        <w:rPr>
          <w:i/>
          <w:iCs/>
        </w:rPr>
        <w:t>P</w:t>
      </w:r>
      <w:r w:rsidRPr="0045299E">
        <w:rPr>
          <w:i/>
          <w:iCs/>
          <w:vertAlign w:val="subscript"/>
        </w:rPr>
        <w:t>0</w:t>
      </w:r>
      <w:r>
        <w:t xml:space="preserve">, </w:t>
      </w:r>
      <w:r w:rsidRPr="0045299E">
        <w:rPr>
          <w:i/>
          <w:iCs/>
        </w:rPr>
        <w:t>P</w:t>
      </w:r>
      <w:r w:rsidRPr="0045299E">
        <w:rPr>
          <w:i/>
          <w:iCs/>
          <w:vertAlign w:val="subscript"/>
        </w:rPr>
        <w:t>1</w:t>
      </w:r>
      <w:r>
        <w:t xml:space="preserve">} </w:t>
      </w:r>
      <w:r w:rsidR="0094102B" w:rsidRPr="0094102B">
        <w:t>can only be copied to symbols</w:t>
      </w:r>
      <w:r>
        <w:t xml:space="preserve"> {4, 11}</w:t>
      </w:r>
      <w:r w:rsidR="0094102B" w:rsidRPr="0094102B">
        <w:t xml:space="preserve"> in the CAS subframe</w:t>
      </w:r>
    </w:p>
    <w:p w14:paraId="56E92D82" w14:textId="77777777" w:rsidR="0045299E" w:rsidRDefault="0045299E" w:rsidP="0045299E">
      <w:pPr>
        <w:pStyle w:val="B1"/>
      </w:pPr>
      <w:r>
        <w:t>2.</w:t>
      </w:r>
      <w:r>
        <w:tab/>
      </w:r>
      <w:r w:rsidR="0094102B" w:rsidRPr="0094102B">
        <w:t>PBCH symbols</w:t>
      </w:r>
      <w:r>
        <w:t xml:space="preserve"> {</w:t>
      </w:r>
      <w:r w:rsidRPr="0045299E">
        <w:rPr>
          <w:i/>
          <w:iCs/>
        </w:rPr>
        <w:t>P</w:t>
      </w:r>
      <w:r>
        <w:rPr>
          <w:i/>
          <w:iCs/>
          <w:vertAlign w:val="subscript"/>
        </w:rPr>
        <w:t>2</w:t>
      </w:r>
      <w:r>
        <w:t xml:space="preserve">, </w:t>
      </w:r>
      <w:r w:rsidRPr="0045299E">
        <w:rPr>
          <w:i/>
          <w:iCs/>
        </w:rPr>
        <w:t>P</w:t>
      </w:r>
      <w:r>
        <w:rPr>
          <w:i/>
          <w:iCs/>
          <w:vertAlign w:val="subscript"/>
        </w:rPr>
        <w:t>3</w:t>
      </w:r>
      <w:r>
        <w:t xml:space="preserve">} </w:t>
      </w:r>
      <w:r w:rsidR="0094102B" w:rsidRPr="0094102B">
        <w:t>can only be copied to symbols</w:t>
      </w:r>
      <w:r>
        <w:t xml:space="preserve"> {3,12,13} </w:t>
      </w:r>
      <w:r w:rsidR="0094102B" w:rsidRPr="0094102B">
        <w:t>in the CAS subframe</w:t>
      </w:r>
    </w:p>
    <w:p w14:paraId="4A83C3CB" w14:textId="77777777" w:rsidR="0094102B" w:rsidRPr="0094102B" w:rsidRDefault="0054411A" w:rsidP="0054411A">
      <w:pPr>
        <w:pStyle w:val="B1"/>
        <w:ind w:left="0" w:firstLine="0"/>
      </w:pPr>
      <w:r>
        <w:t>Further, we don’t leave vacancies</w:t>
      </w:r>
      <w:r w:rsidR="0094102B" w:rsidRPr="0094102B">
        <w:t xml:space="preserve"> in the centr</w:t>
      </w:r>
      <w:r>
        <w:t>e</w:t>
      </w:r>
      <w:r w:rsidR="0094102B" w:rsidRPr="0094102B">
        <w:t xml:space="preserve"> 6 RBs</w:t>
      </w:r>
      <w:r w:rsidR="00387120">
        <w:t xml:space="preserve">. To accomplish this, </w:t>
      </w:r>
      <w:r w:rsidR="0094102B" w:rsidRPr="0094102B">
        <w:t xml:space="preserve">we copy </w:t>
      </w:r>
      <w:r w:rsidR="00387120">
        <w:t>some</w:t>
      </w:r>
      <w:r w:rsidR="0094102B" w:rsidRPr="0094102B">
        <w:t xml:space="preserve"> PBCH symbol</w:t>
      </w:r>
      <w:r w:rsidR="00387120">
        <w:t>s</w:t>
      </w:r>
      <w:r w:rsidR="0094102B" w:rsidRPr="0094102B">
        <w:t xml:space="preserve"> </w:t>
      </w:r>
      <w:r>
        <w:t>twice</w:t>
      </w:r>
      <w:r w:rsidR="0094102B" w:rsidRPr="0094102B">
        <w:t>,</w:t>
      </w:r>
      <w:r>
        <w:t xml:space="preserve"> </w:t>
      </w:r>
      <w:r w:rsidR="0094102B" w:rsidRPr="0094102B">
        <w:t xml:space="preserve">while we copy others only </w:t>
      </w:r>
      <w:r>
        <w:t>once</w:t>
      </w:r>
      <w:r w:rsidR="0094102B" w:rsidRPr="0094102B">
        <w:t xml:space="preserve">. </w:t>
      </w:r>
      <w:r>
        <w:t xml:space="preserve">Still, </w:t>
      </w:r>
      <w:r w:rsidR="0094102B" w:rsidRPr="0094102B">
        <w:t xml:space="preserve">within the </w:t>
      </w:r>
      <w:r>
        <w:t xml:space="preserve">CAS </w:t>
      </w:r>
      <w:r w:rsidR="0094102B" w:rsidRPr="0094102B">
        <w:t>subframe, every symbol will have at least 2 copies.</w:t>
      </w:r>
    </w:p>
    <w:p w14:paraId="55B23A96" w14:textId="4247691E" w:rsidR="0094102B" w:rsidRDefault="00A34D51" w:rsidP="00D80705">
      <w:r>
        <w:t>From the possible valid mappings of PBCH symbol</w:t>
      </w:r>
      <w:r w:rsidR="009943B7">
        <w:t xml:space="preserve"> repetitions, we select the mapping </w:t>
      </w:r>
      <w:r w:rsidR="00E735B9">
        <w:t>{</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→4,</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→11,</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→12,</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→3, 13</m:t>
        </m:r>
      </m:oMath>
      <w:r w:rsidR="00E735B9">
        <w:t>}</w:t>
      </w:r>
      <w:r w:rsidR="00D40069">
        <w:t xml:space="preserve"> for normal CP, and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→3,</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→10,</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→11</m:t>
        </m:r>
      </m:oMath>
      <w:r w:rsidR="00D40069">
        <w:t xml:space="preserve">} for extended CP </w:t>
      </w:r>
      <w:r w:rsidR="006148F1">
        <w:t>, following</w:t>
      </w:r>
      <w:r w:rsidR="0057364B" w:rsidRPr="0057364B">
        <w:rPr>
          <w:lang w:val="en-US"/>
        </w:rPr>
        <w:t xml:space="preserve"> </w:t>
      </w:r>
      <w:r w:rsidR="0057364B" w:rsidRPr="00981E50">
        <w:rPr>
          <w:lang w:val="en-US"/>
        </w:rPr>
        <w:t>Table 6.6.4-1</w:t>
      </w:r>
      <w:r w:rsidR="0057364B">
        <w:rPr>
          <w:lang w:val="en-US"/>
        </w:rPr>
        <w:t xml:space="preserve"> for PBCH repetitions</w:t>
      </w:r>
      <w:r w:rsidR="006148F1">
        <w:t xml:space="preserve"> </w:t>
      </w:r>
      <w:r w:rsidR="0057364B">
        <w:t>in TS 36.211</w:t>
      </w:r>
      <w:r w:rsidR="00D40069">
        <w:t xml:space="preserve"> (by selecting only the repetitions within the same subframe)</w:t>
      </w:r>
      <w:r w:rsidR="00745634">
        <w:t>.</w:t>
      </w:r>
    </w:p>
    <w:p w14:paraId="56B87FBC" w14:textId="1FFEA055" w:rsidR="00EB347E" w:rsidRPr="00EB347E" w:rsidRDefault="00FE7971" w:rsidP="00EB347E">
      <w:pPr>
        <w:rPr>
          <w:lang w:val="en-US"/>
        </w:rPr>
      </w:pPr>
      <w:r>
        <w:rPr>
          <w:lang w:val="en-US"/>
        </w:rPr>
        <w:t>Next</w:t>
      </w:r>
      <w:r w:rsidR="00EB347E" w:rsidRPr="00EB347E">
        <w:rPr>
          <w:lang w:val="en-US"/>
        </w:rPr>
        <w:t xml:space="preserve">, we apply a random phase rotation to the elements of the repeated PBCH symbols—i.e., we multiply by </w:t>
      </w:r>
      <m:oMath>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l,k</m:t>
            </m:r>
          </m:sub>
        </m:sSub>
      </m:oMath>
      <w:r w:rsidR="00EB347E" w:rsidRPr="00EB347E">
        <w:rPr>
          <w:lang w:val="en-US"/>
        </w:rPr>
        <w:t xml:space="preserve">, the modulated symbol </w:t>
      </w:r>
      <m:oMath>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l,k</m:t>
            </m:r>
          </m:sub>
          <m:sup>
            <m:r>
              <w:rPr>
                <w:rFonts w:ascii="Cambria Math" w:hAnsi="Cambria Math"/>
                <w:lang w:val="en-US"/>
              </w:rPr>
              <m:t>p</m:t>
            </m:r>
          </m:sup>
        </m:sSubSup>
      </m:oMath>
      <w:r w:rsidR="00EB347E" w:rsidRPr="00EB347E">
        <w:rPr>
          <w:lang w:val="en-US"/>
        </w:rPr>
        <w:t xml:space="preserve"> of OFDM symbol </w:t>
      </w:r>
      <m:oMath>
        <m:r>
          <w:rPr>
            <w:rFonts w:ascii="Cambria Math" w:hAnsi="Cambria Math"/>
            <w:lang w:val="en-US"/>
          </w:rPr>
          <m:t>l∈{3,4,11,12,13}</m:t>
        </m:r>
      </m:oMath>
      <w:r w:rsidR="00EB347E" w:rsidRPr="00EB347E">
        <w:rPr>
          <w:lang w:val="en-US"/>
        </w:rPr>
        <w:t xml:space="preserve"> and subcarrier </w:t>
      </w:r>
      <m:oMath>
        <m:r>
          <w:rPr>
            <w:rFonts w:ascii="Cambria Math" w:hAnsi="Cambria Math"/>
            <w:lang w:val="en-US"/>
          </w:rPr>
          <m:t>k</m:t>
        </m:r>
      </m:oMath>
      <w:r w:rsidR="00EB347E" w:rsidRPr="00EB347E">
        <w:rPr>
          <w:lang w:val="en-US"/>
        </w:rPr>
        <w:t xml:space="preserve"> (within the center 6 RBs, expressed as </w:t>
      </w:r>
      <m:oMath>
        <m:r>
          <w:rPr>
            <w:rFonts w:ascii="Cambria Math" w:hAnsi="Cambria Math"/>
            <w:lang w:val="en-US"/>
          </w:rPr>
          <m:t>k∈{0,1,…71}</m:t>
        </m:r>
      </m:oMath>
      <w:r w:rsidR="00EB347E" w:rsidRPr="00EB347E">
        <w:rPr>
          <w:lang w:val="en-US"/>
        </w:rPr>
        <w:t xml:space="preserve"> for reference), where </w:t>
      </w:r>
      <m:oMath>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l,k</m:t>
            </m:r>
          </m:sub>
        </m:sSub>
      </m:oMath>
      <w:r w:rsidR="00EB347E" w:rsidRPr="00EB347E">
        <w:rPr>
          <w:lang w:val="en-US"/>
        </w:rPr>
        <w:t xml:space="preserve"> is given below:</w:t>
      </w:r>
    </w:p>
    <w:p w14:paraId="0E5BC2E8" w14:textId="77777777" w:rsidR="00EB347E" w:rsidRPr="0094102B" w:rsidRDefault="002F3930" w:rsidP="00EB347E">
      <w:pPr>
        <w:jc w:val="center"/>
      </w:pPr>
      <m:oMath>
        <m:sSub>
          <m:sSubPr>
            <m:ctrlPr>
              <w:rPr>
                <w:rFonts w:ascii="Cambria Math" w:hAnsi="Cambria Math"/>
                <w:i/>
              </w:rPr>
            </m:ctrlPr>
          </m:sSubPr>
          <m:e>
            <m:r>
              <w:rPr>
                <w:rFonts w:ascii="Cambria Math" w:hAnsi="Cambria Math"/>
              </w:rPr>
              <m:t>θ</m:t>
            </m:r>
          </m:e>
          <m:sub>
            <m:r>
              <w:rPr>
                <w:rFonts w:ascii="Cambria Math" w:hAnsi="Cambria Math"/>
              </w:rPr>
              <m:t>l,k</m:t>
            </m:r>
          </m:sub>
        </m:sSub>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1, </m:t>
                </m:r>
                <m:sSub>
                  <m:sSubPr>
                    <m:ctrlPr>
                      <w:rPr>
                        <w:rFonts w:ascii="Cambria Math" w:hAnsi="Cambria Math"/>
                        <w:i/>
                      </w:rPr>
                    </m:ctrlPr>
                  </m:sSubPr>
                  <m:e>
                    <m:r>
                      <w:rPr>
                        <w:rFonts w:ascii="Cambria Math" w:hAnsi="Cambria Math"/>
                      </w:rPr>
                      <m:t xml:space="preserve">           c</m:t>
                    </m:r>
                  </m:e>
                  <m:sub>
                    <m:r>
                      <w:rPr>
                        <w:rFonts w:ascii="Cambria Math" w:hAnsi="Cambria Math"/>
                      </w:rPr>
                      <m:t>l</m:t>
                    </m:r>
                  </m:sub>
                </m:sSub>
                <m:d>
                  <m:dPr>
                    <m:ctrlPr>
                      <w:rPr>
                        <w:rFonts w:ascii="Cambria Math" w:hAnsi="Cambria Math"/>
                        <w:i/>
                      </w:rPr>
                    </m:ctrlPr>
                  </m:dPr>
                  <m:e>
                    <m:r>
                      <w:rPr>
                        <w:rFonts w:ascii="Cambria Math" w:hAnsi="Cambria Math"/>
                      </w:rPr>
                      <m:t>2k</m:t>
                    </m:r>
                  </m:e>
                </m:d>
                <m:r>
                  <w:rPr>
                    <w:rFonts w:ascii="Cambria Math" w:hAnsi="Cambria Math"/>
                  </w:rPr>
                  <m:t xml:space="preserve">=0, </m:t>
                </m:r>
                <m:sSub>
                  <m:sSubPr>
                    <m:ctrlPr>
                      <w:rPr>
                        <w:rFonts w:ascii="Cambria Math" w:hAnsi="Cambria Math"/>
                        <w:i/>
                      </w:rPr>
                    </m:ctrlPr>
                  </m:sSubPr>
                  <m:e>
                    <m:r>
                      <w:rPr>
                        <w:rFonts w:ascii="Cambria Math" w:hAnsi="Cambria Math"/>
                      </w:rPr>
                      <m:t>c</m:t>
                    </m:r>
                  </m:e>
                  <m:sub>
                    <m:r>
                      <w:rPr>
                        <w:rFonts w:ascii="Cambria Math" w:hAnsi="Cambria Math"/>
                      </w:rPr>
                      <m:t>l</m:t>
                    </m:r>
                  </m:sub>
                </m:sSub>
                <m:d>
                  <m:dPr>
                    <m:ctrlPr>
                      <w:rPr>
                        <w:rFonts w:ascii="Cambria Math" w:hAnsi="Cambria Math"/>
                        <w:i/>
                      </w:rPr>
                    </m:ctrlPr>
                  </m:dPr>
                  <m:e>
                    <m:r>
                      <w:rPr>
                        <w:rFonts w:ascii="Cambria Math" w:hAnsi="Cambria Math"/>
                      </w:rPr>
                      <m:t>2k+1</m:t>
                    </m:r>
                  </m:e>
                </m:d>
                <m:r>
                  <w:rPr>
                    <w:rFonts w:ascii="Cambria Math" w:hAnsi="Cambria Math"/>
                  </w:rPr>
                  <m:t>=0</m:t>
                </m:r>
              </m:e>
              <m:e>
                <m:r>
                  <w:rPr>
                    <w:rFonts w:ascii="Cambria Math" w:hAnsi="Cambria Math"/>
                  </w:rPr>
                  <m:t xml:space="preserve">-1, </m:t>
                </m:r>
                <m:sSub>
                  <m:sSubPr>
                    <m:ctrlPr>
                      <w:rPr>
                        <w:rFonts w:ascii="Cambria Math" w:hAnsi="Cambria Math"/>
                        <w:i/>
                      </w:rPr>
                    </m:ctrlPr>
                  </m:sSubPr>
                  <m:e>
                    <m:r>
                      <w:rPr>
                        <w:rFonts w:ascii="Cambria Math" w:hAnsi="Cambria Math"/>
                      </w:rPr>
                      <m:t xml:space="preserve">           c</m:t>
                    </m:r>
                  </m:e>
                  <m:sub>
                    <m:r>
                      <w:rPr>
                        <w:rFonts w:ascii="Cambria Math" w:hAnsi="Cambria Math"/>
                      </w:rPr>
                      <m:t>l</m:t>
                    </m:r>
                  </m:sub>
                </m:sSub>
                <m:d>
                  <m:dPr>
                    <m:ctrlPr>
                      <w:rPr>
                        <w:rFonts w:ascii="Cambria Math" w:hAnsi="Cambria Math"/>
                        <w:i/>
                      </w:rPr>
                    </m:ctrlPr>
                  </m:dPr>
                  <m:e>
                    <m:r>
                      <w:rPr>
                        <w:rFonts w:ascii="Cambria Math" w:hAnsi="Cambria Math"/>
                      </w:rPr>
                      <m:t>2k</m:t>
                    </m:r>
                  </m:e>
                </m:d>
                <m:r>
                  <w:rPr>
                    <w:rFonts w:ascii="Cambria Math" w:hAnsi="Cambria Math"/>
                  </w:rPr>
                  <m:t xml:space="preserve">=0, </m:t>
                </m:r>
                <m:sSub>
                  <m:sSubPr>
                    <m:ctrlPr>
                      <w:rPr>
                        <w:rFonts w:ascii="Cambria Math" w:hAnsi="Cambria Math"/>
                        <w:i/>
                      </w:rPr>
                    </m:ctrlPr>
                  </m:sSubPr>
                  <m:e>
                    <m:r>
                      <w:rPr>
                        <w:rFonts w:ascii="Cambria Math" w:hAnsi="Cambria Math"/>
                      </w:rPr>
                      <m:t>c</m:t>
                    </m:r>
                  </m:e>
                  <m:sub>
                    <m:r>
                      <w:rPr>
                        <w:rFonts w:ascii="Cambria Math" w:hAnsi="Cambria Math"/>
                      </w:rPr>
                      <m:t>l</m:t>
                    </m:r>
                  </m:sub>
                </m:sSub>
                <m:d>
                  <m:dPr>
                    <m:ctrlPr>
                      <w:rPr>
                        <w:rFonts w:ascii="Cambria Math" w:hAnsi="Cambria Math"/>
                        <w:i/>
                      </w:rPr>
                    </m:ctrlPr>
                  </m:dPr>
                  <m:e>
                    <m:r>
                      <w:rPr>
                        <w:rFonts w:ascii="Cambria Math" w:hAnsi="Cambria Math"/>
                      </w:rPr>
                      <m:t>2k+1</m:t>
                    </m:r>
                  </m:e>
                </m:d>
                <m:r>
                  <w:rPr>
                    <w:rFonts w:ascii="Cambria Math" w:hAnsi="Cambria Math"/>
                  </w:rPr>
                  <m:t>=1</m:t>
                </m:r>
              </m:e>
              <m:e>
                <m:r>
                  <w:rPr>
                    <w:rFonts w:ascii="Cambria Math" w:hAnsi="Cambria Math"/>
                  </w:rPr>
                  <m:t>j,</m:t>
                </m:r>
                <m:sSub>
                  <m:sSubPr>
                    <m:ctrlPr>
                      <w:rPr>
                        <w:rFonts w:ascii="Cambria Math" w:hAnsi="Cambria Math"/>
                        <w:i/>
                      </w:rPr>
                    </m:ctrlPr>
                  </m:sSubPr>
                  <m:e>
                    <m:r>
                      <w:rPr>
                        <w:rFonts w:ascii="Cambria Math" w:hAnsi="Cambria Math"/>
                      </w:rPr>
                      <m:t xml:space="preserve">           c</m:t>
                    </m:r>
                  </m:e>
                  <m:sub>
                    <m:r>
                      <w:rPr>
                        <w:rFonts w:ascii="Cambria Math" w:hAnsi="Cambria Math"/>
                      </w:rPr>
                      <m:t>l</m:t>
                    </m:r>
                  </m:sub>
                </m:sSub>
                <m:d>
                  <m:dPr>
                    <m:ctrlPr>
                      <w:rPr>
                        <w:rFonts w:ascii="Cambria Math" w:hAnsi="Cambria Math"/>
                        <w:i/>
                      </w:rPr>
                    </m:ctrlPr>
                  </m:dPr>
                  <m:e>
                    <m:r>
                      <w:rPr>
                        <w:rFonts w:ascii="Cambria Math" w:hAnsi="Cambria Math"/>
                      </w:rPr>
                      <m:t>2k</m:t>
                    </m:r>
                  </m:e>
                </m:d>
                <m:r>
                  <w:rPr>
                    <w:rFonts w:ascii="Cambria Math" w:hAnsi="Cambria Math"/>
                  </w:rPr>
                  <m:t xml:space="preserve">=1, </m:t>
                </m:r>
                <m:sSub>
                  <m:sSubPr>
                    <m:ctrlPr>
                      <w:rPr>
                        <w:rFonts w:ascii="Cambria Math" w:hAnsi="Cambria Math"/>
                        <w:i/>
                      </w:rPr>
                    </m:ctrlPr>
                  </m:sSubPr>
                  <m:e>
                    <m:r>
                      <w:rPr>
                        <w:rFonts w:ascii="Cambria Math" w:hAnsi="Cambria Math"/>
                      </w:rPr>
                      <m:t>c</m:t>
                    </m:r>
                  </m:e>
                  <m:sub>
                    <m:r>
                      <w:rPr>
                        <w:rFonts w:ascii="Cambria Math" w:hAnsi="Cambria Math"/>
                      </w:rPr>
                      <m:t>l</m:t>
                    </m:r>
                  </m:sub>
                </m:sSub>
                <m:d>
                  <m:dPr>
                    <m:ctrlPr>
                      <w:rPr>
                        <w:rFonts w:ascii="Cambria Math" w:hAnsi="Cambria Math"/>
                        <w:i/>
                      </w:rPr>
                    </m:ctrlPr>
                  </m:dPr>
                  <m:e>
                    <m:r>
                      <w:rPr>
                        <w:rFonts w:ascii="Cambria Math" w:hAnsi="Cambria Math"/>
                      </w:rPr>
                      <m:t>2k+1</m:t>
                    </m:r>
                  </m:e>
                </m:d>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-j,</m:t>
                </m:r>
                <m:sSub>
                  <m:sSubPr>
                    <m:ctrlPr>
                      <w:rPr>
                        <w:rFonts w:ascii="Cambria Math" w:hAnsi="Cambria Math"/>
                        <w:i/>
                      </w:rPr>
                    </m:ctrlPr>
                  </m:sSubPr>
                  <m:e>
                    <m:r>
                      <w:rPr>
                        <w:rFonts w:ascii="Cambria Math" w:hAnsi="Cambria Math"/>
                      </w:rPr>
                      <m:t xml:space="preserve">           c</m:t>
                    </m:r>
                  </m:e>
                  <m:sub>
                    <m:r>
                      <w:rPr>
                        <w:rFonts w:ascii="Cambria Math" w:hAnsi="Cambria Math"/>
                      </w:rPr>
                      <m:t>l</m:t>
                    </m:r>
                  </m:sub>
                </m:sSub>
                <m:d>
                  <m:dPr>
                    <m:ctrlPr>
                      <w:rPr>
                        <w:rFonts w:ascii="Cambria Math" w:hAnsi="Cambria Math"/>
                        <w:i/>
                      </w:rPr>
                    </m:ctrlPr>
                  </m:dPr>
                  <m:e>
                    <m:r>
                      <w:rPr>
                        <w:rFonts w:ascii="Cambria Math" w:hAnsi="Cambria Math"/>
                      </w:rPr>
                      <m:t>2k</m:t>
                    </m:r>
                  </m:e>
                </m:d>
                <m:r>
                  <w:rPr>
                    <w:rFonts w:ascii="Cambria Math" w:hAnsi="Cambria Math"/>
                  </w:rPr>
                  <m:t xml:space="preserve">=1, </m:t>
                </m:r>
                <m:sSub>
                  <m:sSubPr>
                    <m:ctrlPr>
                      <w:rPr>
                        <w:rFonts w:ascii="Cambria Math" w:hAnsi="Cambria Math"/>
                        <w:i/>
                      </w:rPr>
                    </m:ctrlPr>
                  </m:sSubPr>
                  <m:e>
                    <m:r>
                      <w:rPr>
                        <w:rFonts w:ascii="Cambria Math" w:hAnsi="Cambria Math"/>
                      </w:rPr>
                      <m:t>c</m:t>
                    </m:r>
                  </m:e>
                  <m:sub>
                    <m:r>
                      <w:rPr>
                        <w:rFonts w:ascii="Cambria Math" w:hAnsi="Cambria Math"/>
                      </w:rPr>
                      <m:t>l</m:t>
                    </m:r>
                  </m:sub>
                </m:sSub>
                <m:d>
                  <m:dPr>
                    <m:ctrlPr>
                      <w:rPr>
                        <w:rFonts w:ascii="Cambria Math" w:hAnsi="Cambria Math"/>
                        <w:i/>
                      </w:rPr>
                    </m:ctrlPr>
                  </m:dPr>
                  <m:e>
                    <m:r>
                      <w:rPr>
                        <w:rFonts w:ascii="Cambria Math" w:hAnsi="Cambria Math"/>
                      </w:rPr>
                      <m:t>2k+1</m:t>
                    </m:r>
                  </m:e>
                </m:d>
                <m:r>
                  <w:rPr>
                    <w:rFonts w:ascii="Cambria Math" w:hAnsi="Cambria Math"/>
                  </w:rPr>
                  <m:t>=1</m:t>
                </m:r>
              </m:e>
            </m:eqArr>
          </m:e>
        </m:d>
      </m:oMath>
      <w:r w:rsidR="00EB347E" w:rsidRPr="0094102B">
        <w:t xml:space="preserve">  </w:t>
      </w:r>
    </w:p>
    <w:p w14:paraId="7AB759CE" w14:textId="4A71CB4F" w:rsidR="00EB347E" w:rsidRDefault="00EB347E" w:rsidP="00D80705">
      <w:r w:rsidRPr="0094102B">
        <w:t xml:space="preserve">In the above equation, it is assumed that </w:t>
      </w:r>
      <m:oMath>
        <m:sSub>
          <m:sSubPr>
            <m:ctrlPr>
              <w:rPr>
                <w:rFonts w:ascii="Cambria Math" w:hAnsi="Cambria Math"/>
                <w:i/>
              </w:rPr>
            </m:ctrlPr>
          </m:sSubPr>
          <m:e>
            <m:r>
              <w:rPr>
                <w:rFonts w:ascii="Cambria Math" w:hAnsi="Cambria Math"/>
              </w:rPr>
              <m:t>c</m:t>
            </m:r>
          </m:e>
          <m:sub>
            <m:r>
              <w:rPr>
                <w:rFonts w:ascii="Cambria Math" w:hAnsi="Cambria Math"/>
              </w:rPr>
              <m:t>l</m:t>
            </m:r>
          </m:sub>
        </m:sSub>
        <m:r>
          <w:rPr>
            <w:rFonts w:ascii="Cambria Math" w:hAnsi="Cambria Math"/>
          </w:rPr>
          <m:t>(.)</m:t>
        </m:r>
      </m:oMath>
      <w:r w:rsidRPr="0094102B">
        <w:t xml:space="preserve"> comes from a length-144 Gold sequence (per Clause 7.2, TS 36.211) that is initialized at symbol </w:t>
      </w:r>
      <m:oMath>
        <m:r>
          <w:rPr>
            <w:rFonts w:ascii="Cambria Math" w:hAnsi="Cambria Math"/>
          </w:rPr>
          <m:t>l</m:t>
        </m:r>
      </m:oMath>
      <w:r w:rsidRPr="0094102B">
        <w:t xml:space="preserve"> with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init,l</m:t>
            </m:r>
          </m:sub>
        </m:sSub>
        <m:r>
          <w:rPr>
            <w:rFonts w:ascii="Cambria Math" w:eastAsiaTheme="minorEastAsia" w:hAnsi="Cambria Math"/>
          </w:rPr>
          <m:t>=</m:t>
        </m:r>
        <m:sSub>
          <m:sSubPr>
            <m:ctrlPr>
              <w:rPr>
                <w:rFonts w:ascii="Cambria Math" w:eastAsiaTheme="minorEastAsia" w:hAnsi="Cambria Math"/>
                <w:i/>
              </w:rPr>
            </m:ctrlPr>
          </m:sSubPr>
          <m:e>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13</m:t>
                </m:r>
              </m:sup>
            </m:sSup>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ID</m:t>
                    </m:r>
                  </m:sub>
                </m:sSub>
                <m:r>
                  <w:rPr>
                    <w:rFonts w:ascii="Cambria Math" w:eastAsiaTheme="minorEastAsia" w:hAnsi="Cambria Math"/>
                  </w:rPr>
                  <m:t>+1)×l</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4</m:t>
                </m:r>
              </m:sup>
            </m:sSup>
            <m:r>
              <w:rPr>
                <w:rFonts w:ascii="Cambria Math" w:eastAsiaTheme="minorEastAsia" w:hAnsi="Cambria Math"/>
              </w:rPr>
              <m:t>N</m:t>
            </m:r>
          </m:e>
          <m:sub>
            <m:r>
              <w:rPr>
                <w:rFonts w:ascii="Cambria Math" w:eastAsiaTheme="minorEastAsia" w:hAnsi="Cambria Math"/>
              </w:rPr>
              <m:t>ID</m:t>
            </m:r>
          </m:sub>
        </m:sSub>
        <m:r>
          <w:rPr>
            <w:rFonts w:ascii="Cambria Math" w:eastAsiaTheme="minorEastAsia" w:hAnsi="Cambria Math"/>
          </w:rPr>
          <m:t>+l</m:t>
        </m:r>
      </m:oMath>
      <w:r>
        <w:rPr>
          <w:rFonts w:eastAsiaTheme="minorEastAsia"/>
        </w:rPr>
        <w:t xml:space="preserve">  </w:t>
      </w:r>
    </w:p>
    <w:p w14:paraId="5027D285" w14:textId="77777777" w:rsidR="0094102B" w:rsidRDefault="0094102B" w:rsidP="0094102B">
      <w:r>
        <w:t>Based on the above, we make the following proposal for PBCH repetitions within a CAS:</w:t>
      </w:r>
    </w:p>
    <w:p w14:paraId="62D3DB8F" w14:textId="12751901" w:rsidR="00EB347E" w:rsidRPr="00EB347E" w:rsidRDefault="00EB347E" w:rsidP="00EB347E">
      <w:pPr>
        <w:overflowPunct/>
        <w:autoSpaceDE/>
        <w:autoSpaceDN/>
        <w:adjustRightInd/>
        <w:spacing w:after="160" w:line="259" w:lineRule="auto"/>
        <w:textAlignment w:val="auto"/>
        <w:rPr>
          <w:rFonts w:eastAsiaTheme="minorHAnsi"/>
          <w:b/>
          <w:lang w:val="en-US" w:eastAsia="en-US"/>
        </w:rPr>
      </w:pPr>
      <w:bookmarkStart w:id="2" w:name="_Hlk24066699"/>
      <w:r w:rsidRPr="00EB347E">
        <w:rPr>
          <w:rFonts w:eastAsiaTheme="minorHAnsi"/>
          <w:b/>
          <w:i/>
          <w:u w:val="single"/>
          <w:lang w:val="en-US" w:eastAsia="en-US"/>
        </w:rPr>
        <w:t>Proposal</w:t>
      </w:r>
      <w:r w:rsidR="000F1656">
        <w:rPr>
          <w:rFonts w:eastAsiaTheme="minorHAnsi"/>
          <w:b/>
          <w:i/>
          <w:u w:val="single"/>
          <w:lang w:val="en-US" w:eastAsia="en-US"/>
        </w:rPr>
        <w:t xml:space="preserve"> 1</w:t>
      </w:r>
      <w:r w:rsidRPr="00EB347E">
        <w:rPr>
          <w:rFonts w:eastAsiaTheme="minorHAnsi"/>
          <w:b/>
          <w:lang w:val="en-US" w:eastAsia="en-US"/>
        </w:rPr>
        <w:t>: For PBCH repetitions within a CAS subframe, apply the following two steps in succession:</w:t>
      </w:r>
    </w:p>
    <w:p w14:paraId="749AEA1E" w14:textId="4C6591A1" w:rsidR="00EB347E" w:rsidRPr="00EB347E" w:rsidRDefault="00EB347E" w:rsidP="000F1656">
      <w:pPr>
        <w:numPr>
          <w:ilvl w:val="0"/>
          <w:numId w:val="1"/>
        </w:numPr>
        <w:overflowPunct/>
        <w:autoSpaceDE/>
        <w:autoSpaceDN/>
        <w:adjustRightInd/>
        <w:spacing w:after="160" w:line="259" w:lineRule="auto"/>
        <w:contextualSpacing/>
        <w:textAlignment w:val="auto"/>
        <w:rPr>
          <w:rFonts w:eastAsiaTheme="minorHAnsi"/>
          <w:b/>
          <w:lang w:val="en-US" w:eastAsia="en-US"/>
        </w:rPr>
      </w:pPr>
      <w:r w:rsidRPr="00EB347E">
        <w:rPr>
          <w:rFonts w:eastAsiaTheme="minorHAnsi"/>
          <w:b/>
          <w:lang w:val="en-US" w:eastAsia="en-US"/>
        </w:rPr>
        <w:t xml:space="preserve">Copy the contents of the 4 PBCH OFDM symbols </w:t>
      </w:r>
      <m:oMath>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0</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1</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2</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3</m:t>
            </m:r>
          </m:sub>
        </m:sSub>
        <m:r>
          <m:rPr>
            <m:sty m:val="bi"/>
          </m:rPr>
          <w:rPr>
            <w:rFonts w:ascii="Cambria Math" w:eastAsiaTheme="minorHAnsi" w:hAnsi="Cambria Math"/>
            <w:lang w:val="en-US" w:eastAsia="en-US"/>
          </w:rPr>
          <m:t>}</m:t>
        </m:r>
      </m:oMath>
      <w:r w:rsidRPr="00EB347E">
        <w:rPr>
          <w:rFonts w:eastAsiaTheme="minorHAnsi"/>
          <w:b/>
          <w:lang w:val="en-US" w:eastAsia="en-US"/>
        </w:rPr>
        <w:t xml:space="preserve"> to the center 6 RBs of the OFDM symbols </w:t>
      </w:r>
      <m:oMath>
        <m:r>
          <m:rPr>
            <m:sty m:val="bi"/>
          </m:rPr>
          <w:rPr>
            <w:rFonts w:ascii="Cambria Math" w:eastAsiaTheme="minorHAnsi" w:hAnsi="Cambria Math"/>
            <w:lang w:val="en-US" w:eastAsia="en-US"/>
          </w:rPr>
          <m:t>{3,4,11,12,13}</m:t>
        </m:r>
      </m:oMath>
      <w:r w:rsidRPr="00EB347E">
        <w:rPr>
          <w:rFonts w:eastAsiaTheme="minorEastAsia"/>
          <w:b/>
          <w:lang w:val="en-US" w:eastAsia="en-US"/>
        </w:rPr>
        <w:t xml:space="preserve">, where the mapping </w:t>
      </w:r>
      <w:r w:rsidR="00253A81">
        <w:rPr>
          <w:rFonts w:eastAsiaTheme="minorEastAsia"/>
          <w:b/>
          <w:lang w:val="en-US" w:eastAsia="en-US"/>
        </w:rPr>
        <w:t xml:space="preserve">follows Table 6.6.4-1 for PBCH repetitions in TS 36.211 and is given by </w:t>
      </w:r>
      <w:r w:rsidR="00253A81" w:rsidRPr="00253A81">
        <w:rPr>
          <w:b/>
        </w:rPr>
        <w:t>{</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0</m:t>
            </m:r>
          </m:sub>
        </m:sSub>
        <m:r>
          <m:rPr>
            <m:sty m:val="bi"/>
          </m:rPr>
          <w:rPr>
            <w:rFonts w:ascii="Cambria Math" w:hAnsi="Cambria Math"/>
          </w:rPr>
          <m:t>→4,</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→11,</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→12,</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3</m:t>
            </m:r>
          </m:sub>
        </m:sSub>
        <m:r>
          <m:rPr>
            <m:sty m:val="bi"/>
          </m:rPr>
          <w:rPr>
            <w:rFonts w:ascii="Cambria Math" w:hAnsi="Cambria Math"/>
          </w:rPr>
          <m:t>→3, 13</m:t>
        </m:r>
      </m:oMath>
      <w:r w:rsidR="00253A81" w:rsidRPr="00253A81">
        <w:rPr>
          <w:b/>
        </w:rPr>
        <w:t>}</w:t>
      </w:r>
      <w:r w:rsidRPr="00EB347E">
        <w:rPr>
          <w:rFonts w:eastAsiaTheme="minorEastAsia"/>
          <w:b/>
          <w:lang w:val="en-US" w:eastAsia="en-US"/>
        </w:rPr>
        <w:t xml:space="preserve"> </w:t>
      </w:r>
      <w:r w:rsidR="00D40069">
        <w:rPr>
          <w:rFonts w:eastAsiaTheme="minorEastAsia"/>
          <w:b/>
          <w:lang w:val="en-US" w:eastAsia="en-US"/>
        </w:rPr>
        <w:t xml:space="preserve"> for NCP, and </w:t>
      </w:r>
      <w:r w:rsidR="00E27024">
        <w:t>{</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→3,</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→10,</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→11</m:t>
        </m:r>
      </m:oMath>
      <w:r w:rsidR="00E27024">
        <w:t xml:space="preserve">} </w:t>
      </w:r>
      <w:r w:rsidR="00E27024">
        <w:rPr>
          <w:b/>
          <w:bCs/>
        </w:rPr>
        <w:t>for extended CP</w:t>
      </w:r>
    </w:p>
    <w:p w14:paraId="079898AA" w14:textId="77777777" w:rsidR="00EB347E" w:rsidRPr="00EB347E" w:rsidRDefault="00EB347E" w:rsidP="00EB347E">
      <w:pPr>
        <w:overflowPunct/>
        <w:autoSpaceDE/>
        <w:autoSpaceDN/>
        <w:adjustRightInd/>
        <w:spacing w:after="160" w:line="259" w:lineRule="auto"/>
        <w:ind w:left="720"/>
        <w:contextualSpacing/>
        <w:textAlignment w:val="auto"/>
        <w:rPr>
          <w:rFonts w:eastAsiaTheme="minorHAnsi"/>
          <w:b/>
          <w:lang w:val="en-US" w:eastAsia="en-US"/>
        </w:rPr>
      </w:pPr>
    </w:p>
    <w:p w14:paraId="761473B0" w14:textId="21BC3ACE" w:rsidR="00EB347E" w:rsidRPr="00EB347E" w:rsidRDefault="00EB347E" w:rsidP="000F1656">
      <w:pPr>
        <w:numPr>
          <w:ilvl w:val="0"/>
          <w:numId w:val="1"/>
        </w:numPr>
        <w:overflowPunct/>
        <w:autoSpaceDE/>
        <w:autoSpaceDN/>
        <w:adjustRightInd/>
        <w:spacing w:after="160" w:line="259" w:lineRule="auto"/>
        <w:contextualSpacing/>
        <w:textAlignment w:val="auto"/>
        <w:rPr>
          <w:rFonts w:eastAsiaTheme="minorHAnsi"/>
          <w:b/>
          <w:lang w:val="en-US" w:eastAsia="en-US"/>
        </w:rPr>
      </w:pPr>
      <w:r w:rsidRPr="00EB347E">
        <w:rPr>
          <w:rFonts w:eastAsiaTheme="minorEastAsia"/>
          <w:b/>
          <w:lang w:val="en-US" w:eastAsia="en-US"/>
        </w:rPr>
        <w:t xml:space="preserve">Multiply the copied PBCH symbols obtained in step 1 above with a randomly generated phase rotation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θ</m:t>
            </m:r>
          </m:e>
          <m:sub>
            <m:r>
              <m:rPr>
                <m:sty m:val="bi"/>
              </m:rPr>
              <w:rPr>
                <w:rFonts w:ascii="Cambria Math" w:eastAsiaTheme="minorEastAsia" w:hAnsi="Cambria Math"/>
                <w:lang w:val="en-US" w:eastAsia="en-US"/>
              </w:rPr>
              <m:t>l,k</m:t>
            </m:r>
          </m:sub>
        </m:sSub>
      </m:oMath>
      <w:r w:rsidRPr="00EB347E">
        <w:rPr>
          <w:rFonts w:eastAsiaTheme="minorEastAsia"/>
          <w:b/>
          <w:lang w:val="en-US" w:eastAsia="en-US"/>
        </w:rPr>
        <w:t xml:space="preserve"> at OFDM symbol </w:t>
      </w:r>
      <m:oMath>
        <m:r>
          <m:rPr>
            <m:sty m:val="bi"/>
          </m:rPr>
          <w:rPr>
            <w:rFonts w:ascii="Cambria Math" w:eastAsiaTheme="minorEastAsia" w:hAnsi="Cambria Math"/>
            <w:lang w:val="en-US" w:eastAsia="en-US"/>
          </w:rPr>
          <m:t>l</m:t>
        </m:r>
      </m:oMath>
      <w:r w:rsidRPr="00EB347E">
        <w:rPr>
          <w:rFonts w:eastAsiaTheme="minorEastAsia"/>
          <w:b/>
          <w:lang w:val="en-US" w:eastAsia="en-US"/>
        </w:rPr>
        <w:t xml:space="preserve"> and subcarrier </w:t>
      </w:r>
      <m:oMath>
        <m:r>
          <m:rPr>
            <m:sty m:val="bi"/>
          </m:rPr>
          <w:rPr>
            <w:rFonts w:ascii="Cambria Math" w:eastAsiaTheme="minorEastAsia" w:hAnsi="Cambria Math"/>
            <w:lang w:val="en-US" w:eastAsia="en-US"/>
          </w:rPr>
          <m:t>k</m:t>
        </m:r>
      </m:oMath>
      <w:r w:rsidRPr="00EB347E">
        <w:rPr>
          <w:rFonts w:eastAsiaTheme="minorEastAsia"/>
          <w:b/>
          <w:lang w:val="en-US" w:eastAsia="en-US"/>
        </w:rPr>
        <w:t xml:space="preserve">, where the length-144 Gold sequence at each OFDM symbol </w:t>
      </w:r>
      <m:oMath>
        <m:r>
          <m:rPr>
            <m:sty m:val="bi"/>
          </m:rPr>
          <w:rPr>
            <w:rFonts w:ascii="Cambria Math" w:eastAsiaTheme="minorEastAsia" w:hAnsi="Cambria Math"/>
            <w:lang w:val="en-US" w:eastAsia="en-US"/>
          </w:rPr>
          <m:t>l</m:t>
        </m:r>
      </m:oMath>
      <w:r w:rsidRPr="00EB347E">
        <w:rPr>
          <w:rFonts w:eastAsiaTheme="minorEastAsia"/>
          <w:b/>
          <w:lang w:val="en-US" w:eastAsia="en-US"/>
        </w:rPr>
        <w:t xml:space="preserve"> used to determine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θ</m:t>
            </m:r>
          </m:e>
          <m:sub>
            <m:r>
              <m:rPr>
                <m:sty m:val="bi"/>
              </m:rPr>
              <w:rPr>
                <w:rFonts w:ascii="Cambria Math" w:eastAsiaTheme="minorEastAsia" w:hAnsi="Cambria Math"/>
                <w:lang w:val="en-US" w:eastAsia="en-US"/>
              </w:rPr>
              <m:t>l,k</m:t>
            </m:r>
          </m:sub>
        </m:sSub>
      </m:oMath>
      <w:r w:rsidRPr="00EB347E">
        <w:rPr>
          <w:rFonts w:eastAsiaTheme="minorEastAsia"/>
          <w:b/>
          <w:lang w:val="en-US" w:eastAsia="en-US"/>
        </w:rPr>
        <w:t xml:space="preserve"> is initialized by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c</m:t>
            </m:r>
          </m:e>
          <m:sub>
            <m:r>
              <m:rPr>
                <m:sty m:val="bi"/>
              </m:rPr>
              <w:rPr>
                <w:rFonts w:ascii="Cambria Math" w:eastAsiaTheme="minorEastAsia" w:hAnsi="Cambria Math"/>
                <w:lang w:val="en-US" w:eastAsia="en-US"/>
              </w:rPr>
              <m:t>init,l</m:t>
            </m:r>
          </m:sub>
        </m:sSub>
        <m:r>
          <m:rPr>
            <m:sty m:val="bi"/>
          </m:rPr>
          <w:rPr>
            <w:rFonts w:ascii="Cambria Math" w:eastAsiaTheme="minorEastAsia" w:hAnsi="Cambria Math"/>
            <w:lang w:val="en-US" w:eastAsia="en-US"/>
          </w:rPr>
          <m:t>=</m:t>
        </m:r>
        <m:sSub>
          <m:sSubPr>
            <m:ctrlPr>
              <w:rPr>
                <w:rFonts w:ascii="Cambria Math" w:eastAsiaTheme="minorEastAsia" w:hAnsi="Cambria Math"/>
                <w:b/>
                <w:i/>
                <w:lang w:val="en-US" w:eastAsia="en-US"/>
              </w:rPr>
            </m:ctrlPr>
          </m:sSubPr>
          <m:e>
            <m:sSup>
              <m:sSupPr>
                <m:ctrlPr>
                  <w:rPr>
                    <w:rFonts w:ascii="Cambria Math" w:eastAsiaTheme="minorEastAsia" w:hAnsi="Cambria Math"/>
                    <w:b/>
                    <w:i/>
                    <w:lang w:val="en-US" w:eastAsia="en-US"/>
                  </w:rPr>
                </m:ctrlPr>
              </m:sSupPr>
              <m:e>
                <m:r>
                  <m:rPr>
                    <m:sty m:val="bi"/>
                  </m:rPr>
                  <w:rPr>
                    <w:rFonts w:ascii="Cambria Math" w:eastAsiaTheme="minorEastAsia" w:hAnsi="Cambria Math"/>
                    <w:lang w:val="en-US" w:eastAsia="en-US"/>
                  </w:rPr>
                  <m:t>2</m:t>
                </m:r>
              </m:e>
              <m:sup>
                <m:r>
                  <m:rPr>
                    <m:sty m:val="bi"/>
                  </m:rPr>
                  <w:rPr>
                    <w:rFonts w:ascii="Cambria Math" w:eastAsiaTheme="minorEastAsia" w:hAnsi="Cambria Math"/>
                    <w:lang w:val="en-US" w:eastAsia="en-US"/>
                  </w:rPr>
                  <m:t>13</m:t>
                </m:r>
              </m:sup>
            </m:sSup>
            <m:d>
              <m:dPr>
                <m:ctrlPr>
                  <w:rPr>
                    <w:rFonts w:ascii="Cambria Math" w:eastAsiaTheme="minorEastAsia" w:hAnsi="Cambria Math"/>
                    <w:b/>
                    <w:i/>
                    <w:lang w:val="en-US" w:eastAsia="en-US"/>
                  </w:rPr>
                </m:ctrlPr>
              </m:dPr>
              <m:e>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(N</m:t>
                    </m:r>
                  </m:e>
                  <m:sub>
                    <m:r>
                      <m:rPr>
                        <m:sty m:val="bi"/>
                      </m:rPr>
                      <w:rPr>
                        <w:rFonts w:ascii="Cambria Math" w:eastAsiaTheme="minorEastAsia" w:hAnsi="Cambria Math"/>
                        <w:lang w:val="en-US" w:eastAsia="en-US"/>
                      </w:rPr>
                      <m:t>ID</m:t>
                    </m:r>
                  </m:sub>
                </m:sSub>
                <m:r>
                  <m:rPr>
                    <m:sty m:val="bi"/>
                  </m:rPr>
                  <w:rPr>
                    <w:rFonts w:ascii="Cambria Math" w:eastAsiaTheme="minorEastAsia" w:hAnsi="Cambria Math"/>
                    <w:lang w:val="en-US" w:eastAsia="en-US"/>
                  </w:rPr>
                  <m:t>+1)×l</m:t>
                </m:r>
              </m:e>
            </m:d>
            <m:r>
              <m:rPr>
                <m:sty m:val="bi"/>
              </m:rPr>
              <w:rPr>
                <w:rFonts w:ascii="Cambria Math" w:eastAsiaTheme="minorEastAsia" w:hAnsi="Cambria Math"/>
                <w:lang w:val="en-US" w:eastAsia="en-US"/>
              </w:rPr>
              <m:t>+</m:t>
            </m:r>
            <m:sSup>
              <m:sSupPr>
                <m:ctrlPr>
                  <w:rPr>
                    <w:rFonts w:ascii="Cambria Math" w:eastAsiaTheme="minorEastAsia" w:hAnsi="Cambria Math"/>
                    <w:b/>
                    <w:i/>
                    <w:lang w:val="en-US" w:eastAsia="en-US"/>
                  </w:rPr>
                </m:ctrlPr>
              </m:sSupPr>
              <m:e>
                <m:r>
                  <m:rPr>
                    <m:sty m:val="bi"/>
                  </m:rPr>
                  <w:rPr>
                    <w:rFonts w:ascii="Cambria Math" w:eastAsiaTheme="minorEastAsia" w:hAnsi="Cambria Math"/>
                    <w:lang w:val="en-US" w:eastAsia="en-US"/>
                  </w:rPr>
                  <m:t>2</m:t>
                </m:r>
              </m:e>
              <m:sup>
                <m:r>
                  <m:rPr>
                    <m:sty m:val="bi"/>
                  </m:rPr>
                  <w:rPr>
                    <w:rFonts w:ascii="Cambria Math" w:eastAsiaTheme="minorEastAsia" w:hAnsi="Cambria Math"/>
                    <w:lang w:val="en-US" w:eastAsia="en-US"/>
                  </w:rPr>
                  <m:t>4</m:t>
                </m:r>
              </m:sup>
            </m:sSup>
            <m:r>
              <m:rPr>
                <m:sty m:val="bi"/>
              </m:rPr>
              <w:rPr>
                <w:rFonts w:ascii="Cambria Math" w:eastAsiaTheme="minorEastAsia" w:hAnsi="Cambria Math"/>
                <w:lang w:val="en-US" w:eastAsia="en-US"/>
              </w:rPr>
              <m:t>N</m:t>
            </m:r>
          </m:e>
          <m:sub>
            <m:r>
              <m:rPr>
                <m:sty m:val="bi"/>
              </m:rPr>
              <w:rPr>
                <w:rFonts w:ascii="Cambria Math" w:eastAsiaTheme="minorEastAsia" w:hAnsi="Cambria Math"/>
                <w:lang w:val="en-US" w:eastAsia="en-US"/>
              </w:rPr>
              <m:t>ID</m:t>
            </m:r>
          </m:sub>
        </m:sSub>
        <m:r>
          <m:rPr>
            <m:sty m:val="bi"/>
          </m:rPr>
          <w:rPr>
            <w:rFonts w:ascii="Cambria Math" w:eastAsiaTheme="minorEastAsia" w:hAnsi="Cambria Math"/>
            <w:lang w:val="en-US" w:eastAsia="en-US"/>
          </w:rPr>
          <m:t>+l</m:t>
        </m:r>
      </m:oMath>
      <w:r w:rsidRPr="00EB347E">
        <w:rPr>
          <w:rFonts w:eastAsiaTheme="minorEastAsia"/>
          <w:lang w:val="en-US" w:eastAsia="en-US"/>
        </w:rPr>
        <w:t xml:space="preserve">  </w:t>
      </w:r>
      <w:r w:rsidRPr="00EB347E">
        <w:rPr>
          <w:rFonts w:eastAsiaTheme="minorEastAsia"/>
          <w:b/>
          <w:lang w:val="en-US" w:eastAsia="en-US"/>
        </w:rPr>
        <w:t xml:space="preserve">, and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θ</m:t>
            </m:r>
          </m:e>
          <m:sub>
            <m:r>
              <m:rPr>
                <m:sty m:val="bi"/>
              </m:rPr>
              <w:rPr>
                <w:rFonts w:ascii="Cambria Math" w:eastAsiaTheme="minorEastAsia" w:hAnsi="Cambria Math"/>
                <w:lang w:val="en-US" w:eastAsia="en-US"/>
              </w:rPr>
              <m:t>l,k</m:t>
            </m:r>
          </m:sub>
        </m:sSub>
      </m:oMath>
      <w:r w:rsidRPr="00EB347E">
        <w:rPr>
          <w:rFonts w:eastAsiaTheme="minorEastAsia"/>
          <w:b/>
          <w:lang w:val="en-US" w:eastAsia="en-US"/>
        </w:rPr>
        <w:t xml:space="preserve"> is given by: </w:t>
      </w:r>
    </w:p>
    <w:p w14:paraId="4D28B159" w14:textId="77777777" w:rsidR="00EB347E" w:rsidRPr="00EB347E" w:rsidRDefault="00EB347E" w:rsidP="00EB347E">
      <w:pPr>
        <w:overflowPunct/>
        <w:autoSpaceDE/>
        <w:autoSpaceDN/>
        <w:adjustRightInd/>
        <w:spacing w:after="160" w:line="259" w:lineRule="auto"/>
        <w:ind w:left="720"/>
        <w:contextualSpacing/>
        <w:textAlignment w:val="auto"/>
        <w:rPr>
          <w:rFonts w:eastAsiaTheme="minorHAnsi"/>
          <w:b/>
          <w:lang w:val="en-US" w:eastAsia="en-US"/>
        </w:rPr>
      </w:pPr>
    </w:p>
    <w:p w14:paraId="09A70B45" w14:textId="77777777" w:rsidR="00EB347E" w:rsidRPr="00EB347E" w:rsidRDefault="002F3930" w:rsidP="00EB347E">
      <w:pPr>
        <w:overflowPunct/>
        <w:autoSpaceDE/>
        <w:autoSpaceDN/>
        <w:adjustRightInd/>
        <w:spacing w:after="160" w:line="259" w:lineRule="auto"/>
        <w:jc w:val="center"/>
        <w:textAlignment w:val="auto"/>
        <w:rPr>
          <w:rFonts w:eastAsiaTheme="minorEastAsia"/>
          <w:b/>
          <w:lang w:val="en-US" w:eastAsia="en-US"/>
        </w:rPr>
      </w:pPr>
      <m:oMathPara>
        <m:oMath>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θ</m:t>
              </m:r>
            </m:e>
            <m:sub>
              <m:r>
                <m:rPr>
                  <m:sty m:val="bi"/>
                </m:rPr>
                <w:rPr>
                  <w:rFonts w:ascii="Cambria Math" w:eastAsiaTheme="minorHAnsi" w:hAnsi="Cambria Math"/>
                  <w:lang w:val="en-US" w:eastAsia="en-US"/>
                </w:rPr>
                <m:t>l,k</m:t>
              </m:r>
            </m:sub>
          </m:sSub>
          <m:r>
            <m:rPr>
              <m:sty m:val="bi"/>
            </m:rPr>
            <w:rPr>
              <w:rFonts w:ascii="Cambria Math" w:eastAsiaTheme="minorHAnsi" w:hAnsi="Cambria Math"/>
              <w:lang w:val="en-US" w:eastAsia="en-US"/>
            </w:rPr>
            <m:t xml:space="preserve">= </m:t>
          </m:r>
          <m:d>
            <m:dPr>
              <m:begChr m:val="{"/>
              <m:endChr m:val=""/>
              <m:ctrlPr>
                <w:rPr>
                  <w:rFonts w:ascii="Cambria Math" w:eastAsiaTheme="minorHAnsi" w:hAnsi="Cambria Math"/>
                  <w:b/>
                  <w:i/>
                  <w:lang w:val="en-US" w:eastAsia="en-US"/>
                </w:rPr>
              </m:ctrlPr>
            </m:dPr>
            <m:e>
              <m:eqArr>
                <m:eqArrPr>
                  <m:ctrlPr>
                    <w:rPr>
                      <w:rFonts w:ascii="Cambria Math" w:eastAsiaTheme="minorHAnsi" w:hAnsi="Cambria Math"/>
                      <w:b/>
                      <w:i/>
                      <w:lang w:val="en-US" w:eastAsia="en-US"/>
                    </w:rPr>
                  </m:ctrlPr>
                </m:eqArrPr>
                <m:e>
                  <m:r>
                    <m:rPr>
                      <m:sty m:val="bi"/>
                    </m:rPr>
                    <w:rPr>
                      <w:rFonts w:ascii="Cambria Math" w:eastAsiaTheme="minorHAnsi" w:hAnsi="Cambria Math"/>
                      <w:lang w:val="en-US" w:eastAsia="en-US"/>
                    </w:rPr>
                    <m:t xml:space="preserve">1,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 xml:space="preserve">           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m:t>
                      </m:r>
                    </m:e>
                  </m:d>
                  <m:r>
                    <m:rPr>
                      <m:sty m:val="bi"/>
                    </m:rPr>
                    <w:rPr>
                      <w:rFonts w:ascii="Cambria Math" w:eastAsiaTheme="minorHAnsi" w:hAnsi="Cambria Math"/>
                      <w:lang w:val="en-US" w:eastAsia="en-US"/>
                    </w:rPr>
                    <m:t xml:space="preserve">=0,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k+1</m:t>
                      </m:r>
                    </m:e>
                  </m:d>
                  <m:r>
                    <m:rPr>
                      <m:sty m:val="bi"/>
                    </m:rPr>
                    <w:rPr>
                      <w:rFonts w:ascii="Cambria Math" w:eastAsiaTheme="minorHAnsi" w:hAnsi="Cambria Math"/>
                      <w:lang w:val="en-US" w:eastAsia="en-US"/>
                    </w:rPr>
                    <m:t>=0</m:t>
                  </m:r>
                </m:e>
                <m:e>
                  <m:r>
                    <m:rPr>
                      <m:sty m:val="bi"/>
                    </m:rPr>
                    <w:rPr>
                      <w:rFonts w:ascii="Cambria Math" w:eastAsiaTheme="minorHAnsi" w:hAnsi="Cambria Math"/>
                      <w:lang w:val="en-US" w:eastAsia="en-US"/>
                    </w:rPr>
                    <m:t xml:space="preserve">-1,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 xml:space="preserve">           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2k</m:t>
                      </m:r>
                    </m:e>
                  </m:d>
                  <m:r>
                    <m:rPr>
                      <m:sty m:val="bi"/>
                    </m:rPr>
                    <w:rPr>
                      <w:rFonts w:ascii="Cambria Math" w:eastAsiaTheme="minorHAnsi" w:hAnsi="Cambria Math"/>
                      <w:lang w:val="en-US" w:eastAsia="en-US"/>
                    </w:rPr>
                    <m:t xml:space="preserve">=0,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k+1</m:t>
                      </m:r>
                    </m:e>
                  </m:d>
                  <m:r>
                    <m:rPr>
                      <m:sty m:val="bi"/>
                    </m:rPr>
                    <w:rPr>
                      <w:rFonts w:ascii="Cambria Math" w:eastAsiaTheme="minorHAnsi" w:hAnsi="Cambria Math"/>
                      <w:lang w:val="en-US" w:eastAsia="en-US"/>
                    </w:rPr>
                    <m:t>=1</m:t>
                  </m:r>
                </m:e>
                <m:e>
                  <m:r>
                    <m:rPr>
                      <m:sty m:val="bi"/>
                    </m:rPr>
                    <w:rPr>
                      <w:rFonts w:ascii="Cambria Math" w:eastAsiaTheme="minorHAnsi" w:hAnsi="Cambria Math"/>
                      <w:lang w:val="en-US" w:eastAsia="en-US"/>
                    </w:rPr>
                    <m:t>j,</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 xml:space="preserve">           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m:t>
                      </m:r>
                    </m:e>
                  </m:d>
                  <m:r>
                    <m:rPr>
                      <m:sty m:val="bi"/>
                    </m:rPr>
                    <w:rPr>
                      <w:rFonts w:ascii="Cambria Math" w:eastAsiaTheme="minorHAnsi" w:hAnsi="Cambria Math"/>
                      <w:lang w:val="en-US" w:eastAsia="en-US"/>
                    </w:rPr>
                    <m:t xml:space="preserve">=1,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k+1</m:t>
                      </m:r>
                    </m:e>
                  </m:d>
                  <m:r>
                    <m:rPr>
                      <m:sty m:val="bi"/>
                    </m:rPr>
                    <w:rPr>
                      <w:rFonts w:ascii="Cambria Math" w:eastAsiaTheme="minorHAnsi" w:hAnsi="Cambria Math"/>
                      <w:lang w:val="en-US" w:eastAsia="en-US"/>
                    </w:rPr>
                    <m:t>=0</m:t>
                  </m:r>
                  <m:ctrlPr>
                    <w:rPr>
                      <w:rFonts w:ascii="Cambria Math" w:eastAsia="Cambria Math" w:hAnsi="Cambria Math"/>
                      <w:b/>
                      <w:i/>
                      <w:lang w:val="en-US" w:eastAsia="en-US"/>
                    </w:rPr>
                  </m:ctrlPr>
                </m:e>
                <m:e>
                  <m:r>
                    <m:rPr>
                      <m:sty m:val="bi"/>
                    </m:rPr>
                    <w:rPr>
                      <w:rFonts w:ascii="Cambria Math" w:eastAsia="Cambria Math" w:hAnsi="Cambria Math"/>
                      <w:lang w:val="en-US" w:eastAsia="en-US"/>
                    </w:rPr>
                    <m:t>-j,</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 xml:space="preserve">           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m:t>
                      </m:r>
                    </m:e>
                  </m:d>
                  <m:r>
                    <m:rPr>
                      <m:sty m:val="bi"/>
                    </m:rPr>
                    <w:rPr>
                      <w:rFonts w:ascii="Cambria Math" w:eastAsiaTheme="minorHAnsi" w:hAnsi="Cambria Math"/>
                      <w:lang w:val="en-US" w:eastAsia="en-US"/>
                    </w:rPr>
                    <m:t xml:space="preserve">=1,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k+1</m:t>
                      </m:r>
                    </m:e>
                  </m:d>
                  <m:r>
                    <m:rPr>
                      <m:sty m:val="bi"/>
                    </m:rPr>
                    <w:rPr>
                      <w:rFonts w:ascii="Cambria Math" w:eastAsiaTheme="minorHAnsi" w:hAnsi="Cambria Math"/>
                      <w:lang w:val="en-US" w:eastAsia="en-US"/>
                    </w:rPr>
                    <m:t>=1</m:t>
                  </m:r>
                </m:e>
              </m:eqArr>
            </m:e>
          </m:d>
        </m:oMath>
      </m:oMathPara>
    </w:p>
    <w:bookmarkEnd w:id="2"/>
    <w:p w14:paraId="5E729B50" w14:textId="77777777" w:rsidR="000B0ADC" w:rsidRDefault="00231A8B" w:rsidP="000B0ADC">
      <w:pPr>
        <w:pStyle w:val="Heading1"/>
        <w:rPr>
          <w:lang w:val="en-US"/>
        </w:rPr>
      </w:pPr>
      <w:r>
        <w:rPr>
          <w:lang w:val="en-US"/>
        </w:rPr>
        <w:t>3</w:t>
      </w:r>
      <w:r w:rsidR="000B0ADC">
        <w:rPr>
          <w:lang w:val="en-US"/>
        </w:rPr>
        <w:tab/>
        <w:t xml:space="preserve">PDDCH </w:t>
      </w:r>
      <w:r w:rsidR="00900EE5">
        <w:rPr>
          <w:lang w:val="en-US"/>
        </w:rPr>
        <w:t>enhancements</w:t>
      </w:r>
    </w:p>
    <w:p w14:paraId="6DBD26CC" w14:textId="77777777" w:rsidR="00532323" w:rsidRDefault="00F026FD" w:rsidP="00900EE5">
      <w:pPr>
        <w:rPr>
          <w:lang w:val="en-US"/>
        </w:rPr>
      </w:pPr>
      <w:r>
        <w:rPr>
          <w:lang w:val="en-US"/>
        </w:rPr>
        <w:t xml:space="preserve">In this section, </w:t>
      </w:r>
      <w:r w:rsidR="0066483B">
        <w:rPr>
          <w:lang w:val="en-US"/>
        </w:rPr>
        <w:t xml:space="preserve">we discuss the PDCCH enhancements. </w:t>
      </w:r>
      <w:r w:rsidR="00287DCE">
        <w:rPr>
          <w:lang w:val="en-US"/>
        </w:rPr>
        <w:t xml:space="preserve">There are two options: </w:t>
      </w:r>
    </w:p>
    <w:p w14:paraId="0C865F0B" w14:textId="77777777" w:rsidR="00287DCE" w:rsidRPr="00287DCE" w:rsidRDefault="00A1071B" w:rsidP="00A1071B">
      <w:pPr>
        <w:ind w:left="360"/>
        <w:rPr>
          <w:b/>
          <w:bCs/>
          <w:lang w:val="en-US"/>
        </w:rPr>
      </w:pPr>
      <w:r>
        <w:rPr>
          <w:lang w:val="en-US"/>
        </w:rPr>
        <w:t>a)</w:t>
      </w:r>
      <w:r>
        <w:rPr>
          <w:lang w:val="en-US"/>
        </w:rPr>
        <w:tab/>
      </w:r>
      <w:r w:rsidR="00287DCE">
        <w:rPr>
          <w:lang w:val="en-US"/>
        </w:rPr>
        <w:t>Specify PDCCH with new aggregation level 16 (AL16)</w:t>
      </w:r>
    </w:p>
    <w:p w14:paraId="19F8D116" w14:textId="77777777" w:rsidR="00287DCE" w:rsidRPr="00287DCE" w:rsidRDefault="00A1071B" w:rsidP="00A1071B">
      <w:pPr>
        <w:ind w:left="360"/>
        <w:rPr>
          <w:b/>
          <w:bCs/>
          <w:lang w:val="en-US"/>
        </w:rPr>
      </w:pPr>
      <w:r>
        <w:rPr>
          <w:lang w:val="en-US"/>
        </w:rPr>
        <w:t>b)</w:t>
      </w:r>
      <w:r>
        <w:rPr>
          <w:lang w:val="en-US"/>
        </w:rPr>
        <w:tab/>
      </w:r>
      <w:r w:rsidR="00287DCE">
        <w:rPr>
          <w:lang w:val="en-US"/>
        </w:rPr>
        <w:t>Specify a mechanism for repetition of PDCCH with AL8.</w:t>
      </w:r>
    </w:p>
    <w:p w14:paraId="7979F349" w14:textId="07B366F4" w:rsidR="005A6B48" w:rsidRDefault="00287DCE" w:rsidP="00287DCE">
      <w:pPr>
        <w:rPr>
          <w:lang w:val="en-US"/>
        </w:rPr>
      </w:pPr>
      <w:r>
        <w:rPr>
          <w:lang w:val="en-US"/>
        </w:rPr>
        <w:t xml:space="preserve">In </w:t>
      </w:r>
      <w:r w:rsidR="00A1071B">
        <w:rPr>
          <w:lang w:val="en-US"/>
        </w:rPr>
        <w:t xml:space="preserve">[3], it was proposed to select option b), with the argument that the legacy UE could not detect PDCCH with AL16. </w:t>
      </w:r>
      <w:r w:rsidR="00EB347E">
        <w:rPr>
          <w:lang w:val="en-US"/>
        </w:rPr>
        <w:t xml:space="preserve">Our design of a backwards compatible AL16 ensures that the contents of a legacy AL8 candidate are </w:t>
      </w:r>
      <w:r w:rsidR="00581423">
        <w:rPr>
          <w:lang w:val="en-US"/>
        </w:rPr>
        <w:t>the same</w:t>
      </w:r>
      <w:r w:rsidR="00EB347E">
        <w:rPr>
          <w:lang w:val="en-US"/>
        </w:rPr>
        <w:t>—we detail this in what follows.</w:t>
      </w:r>
      <w:r w:rsidR="00A1071B">
        <w:rPr>
          <w:lang w:val="en-US"/>
        </w:rPr>
        <w:t xml:space="preserve"> </w:t>
      </w:r>
      <w:r w:rsidR="00581423">
        <w:rPr>
          <w:lang w:val="en-US"/>
        </w:rPr>
        <w:t>This way, the AL16 candidate is completely transparent to the legacy UE.</w:t>
      </w:r>
    </w:p>
    <w:p w14:paraId="18C4463F" w14:textId="654A4BCB" w:rsidR="007E26C2" w:rsidRDefault="00A1071B" w:rsidP="00287DCE">
      <w:pPr>
        <w:rPr>
          <w:lang w:val="en-US"/>
        </w:rPr>
      </w:pPr>
      <w:r>
        <w:rPr>
          <w:lang w:val="en-US"/>
        </w:rPr>
        <w:t>On the other hand, 3GPP TS 36.</w:t>
      </w:r>
      <w:r w:rsidR="007E26C2">
        <w:rPr>
          <w:lang w:val="en-US"/>
        </w:rPr>
        <w:t>302 introduces the following restriction on simultaneous reception of PDCCH/PDSCH:</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2771"/>
        <w:gridCol w:w="2478"/>
        <w:gridCol w:w="3061"/>
      </w:tblGrid>
      <w:tr w:rsidR="007E26C2" w:rsidRPr="003F2DF9" w14:paraId="46A97047" w14:textId="77777777" w:rsidTr="003B40BC">
        <w:tc>
          <w:tcPr>
            <w:tcW w:w="1579" w:type="dxa"/>
          </w:tcPr>
          <w:p w14:paraId="3F5C6F7A" w14:textId="77777777" w:rsidR="007E26C2" w:rsidRPr="003F2DF9" w:rsidRDefault="007E26C2" w:rsidP="003B40BC">
            <w:pPr>
              <w:pStyle w:val="TAH"/>
              <w:widowControl w:val="0"/>
              <w:spacing w:before="60"/>
              <w:rPr>
                <w:rFonts w:eastAsia="MS Mincho"/>
                <w:lang w:eastAsia="ja-JP"/>
              </w:rPr>
            </w:pPr>
            <w:r w:rsidRPr="003F2DF9">
              <w:rPr>
                <w:rFonts w:eastAsia="MS Mincho"/>
                <w:lang w:eastAsia="ja-JP"/>
              </w:rPr>
              <w:t>"Reception Type"</w:t>
            </w:r>
          </w:p>
        </w:tc>
        <w:tc>
          <w:tcPr>
            <w:tcW w:w="2771" w:type="dxa"/>
          </w:tcPr>
          <w:p w14:paraId="582D820C" w14:textId="77777777" w:rsidR="007E26C2" w:rsidRPr="003F2DF9" w:rsidRDefault="007E26C2" w:rsidP="003B40BC">
            <w:pPr>
              <w:pStyle w:val="TAH"/>
              <w:widowControl w:val="0"/>
              <w:spacing w:before="60"/>
              <w:rPr>
                <w:rFonts w:eastAsia="MS Mincho"/>
                <w:lang w:eastAsia="ja-JP"/>
              </w:rPr>
            </w:pPr>
            <w:r w:rsidRPr="003F2DF9">
              <w:rPr>
                <w:rFonts w:eastAsia="MS Mincho"/>
                <w:lang w:eastAsia="ja-JP"/>
              </w:rPr>
              <w:t>Physical Channel(s)</w:t>
            </w:r>
          </w:p>
        </w:tc>
        <w:tc>
          <w:tcPr>
            <w:tcW w:w="2478" w:type="dxa"/>
          </w:tcPr>
          <w:p w14:paraId="64E2E152" w14:textId="77777777" w:rsidR="007E26C2" w:rsidRPr="003F2DF9" w:rsidRDefault="007E26C2" w:rsidP="003B40BC">
            <w:pPr>
              <w:pStyle w:val="TAH"/>
              <w:widowControl w:val="0"/>
              <w:spacing w:before="60"/>
              <w:rPr>
                <w:rFonts w:eastAsia="MS Mincho"/>
                <w:lang w:eastAsia="ja-JP"/>
              </w:rPr>
            </w:pPr>
            <w:r w:rsidRPr="003F2DF9">
              <w:rPr>
                <w:rFonts w:eastAsia="MS Mincho"/>
                <w:lang w:eastAsia="ja-JP"/>
              </w:rPr>
              <w:t>Monitored</w:t>
            </w:r>
            <w:r w:rsidRPr="003F2DF9">
              <w:rPr>
                <w:rFonts w:eastAsia="MS Mincho"/>
                <w:lang w:eastAsia="ja-JP"/>
              </w:rPr>
              <w:br/>
              <w:t>RNTI</w:t>
            </w:r>
          </w:p>
        </w:tc>
        <w:tc>
          <w:tcPr>
            <w:tcW w:w="3061" w:type="dxa"/>
          </w:tcPr>
          <w:p w14:paraId="6EEAF442" w14:textId="77777777" w:rsidR="007E26C2" w:rsidRPr="003F2DF9" w:rsidRDefault="007E26C2" w:rsidP="003B40BC">
            <w:pPr>
              <w:pStyle w:val="TAH"/>
              <w:widowControl w:val="0"/>
              <w:spacing w:before="60"/>
              <w:rPr>
                <w:rFonts w:eastAsia="MS Mincho"/>
                <w:lang w:eastAsia="ja-JP"/>
              </w:rPr>
            </w:pPr>
            <w:r w:rsidRPr="003F2DF9">
              <w:rPr>
                <w:rFonts w:eastAsia="MS Mincho"/>
                <w:lang w:eastAsia="ja-JP"/>
              </w:rPr>
              <w:t>Associated</w:t>
            </w:r>
            <w:r w:rsidRPr="003F2DF9">
              <w:rPr>
                <w:rFonts w:eastAsia="MS Mincho"/>
                <w:lang w:eastAsia="ja-JP"/>
              </w:rPr>
              <w:br/>
              <w:t>Transport Channel</w:t>
            </w:r>
          </w:p>
        </w:tc>
      </w:tr>
      <w:tr w:rsidR="007E26C2" w:rsidRPr="003F2DF9" w14:paraId="5893A0D5" w14:textId="77777777" w:rsidTr="003B40BC">
        <w:tc>
          <w:tcPr>
            <w:tcW w:w="1579" w:type="dxa"/>
          </w:tcPr>
          <w:p w14:paraId="255B43B2" w14:textId="77777777" w:rsidR="007E26C2" w:rsidRPr="003F2DF9" w:rsidRDefault="007E26C2" w:rsidP="003B40BC">
            <w:pPr>
              <w:pStyle w:val="TAC"/>
              <w:widowControl w:val="0"/>
              <w:spacing w:before="60"/>
              <w:rPr>
                <w:rFonts w:eastAsia="MS Mincho"/>
                <w:lang w:eastAsia="ja-JP"/>
              </w:rPr>
            </w:pPr>
            <w:r w:rsidRPr="003F2DF9">
              <w:rPr>
                <w:rFonts w:eastAsia="MS Mincho"/>
                <w:lang w:eastAsia="ja-JP"/>
              </w:rPr>
              <w:t>B1</w:t>
            </w:r>
          </w:p>
        </w:tc>
        <w:tc>
          <w:tcPr>
            <w:tcW w:w="2771" w:type="dxa"/>
          </w:tcPr>
          <w:p w14:paraId="3940DB2E" w14:textId="77777777" w:rsidR="007E26C2" w:rsidRPr="003F2DF9" w:rsidRDefault="007E26C2" w:rsidP="003B40B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0825538C" w14:textId="77777777" w:rsidR="007E26C2" w:rsidRPr="003F2DF9" w:rsidRDefault="007E26C2" w:rsidP="003B40BC">
            <w:pPr>
              <w:pStyle w:val="TAL"/>
              <w:widowControl w:val="0"/>
              <w:spacing w:before="60"/>
              <w:jc w:val="both"/>
              <w:rPr>
                <w:rFonts w:eastAsia="MS Mincho"/>
                <w:lang w:eastAsia="ja-JP"/>
              </w:rPr>
            </w:pPr>
            <w:r w:rsidRPr="003F2DF9">
              <w:rPr>
                <w:rFonts w:eastAsia="MS Mincho"/>
                <w:lang w:eastAsia="ja-JP"/>
              </w:rPr>
              <w:t>SI-RNTI (Note 11)</w:t>
            </w:r>
          </w:p>
        </w:tc>
        <w:tc>
          <w:tcPr>
            <w:tcW w:w="3061" w:type="dxa"/>
          </w:tcPr>
          <w:p w14:paraId="1B02E18D" w14:textId="77777777" w:rsidR="007E26C2" w:rsidRPr="003F2DF9" w:rsidRDefault="007E26C2" w:rsidP="003B40BC">
            <w:pPr>
              <w:pStyle w:val="TAL"/>
              <w:widowControl w:val="0"/>
              <w:spacing w:before="60"/>
              <w:jc w:val="both"/>
              <w:rPr>
                <w:rFonts w:eastAsia="MS Mincho"/>
                <w:lang w:eastAsia="ja-JP"/>
              </w:rPr>
            </w:pPr>
            <w:r w:rsidRPr="003F2DF9">
              <w:rPr>
                <w:rFonts w:eastAsia="MS Mincho"/>
                <w:lang w:eastAsia="ja-JP"/>
              </w:rPr>
              <w:t>DL-SCH</w:t>
            </w:r>
          </w:p>
        </w:tc>
      </w:tr>
      <w:tr w:rsidR="007E26C2" w:rsidRPr="003F2DF9" w14:paraId="6F108688" w14:textId="77777777" w:rsidTr="003B40BC">
        <w:tc>
          <w:tcPr>
            <w:tcW w:w="9889" w:type="dxa"/>
            <w:gridSpan w:val="4"/>
          </w:tcPr>
          <w:p w14:paraId="0B163C35" w14:textId="64643ED2" w:rsidR="007E26C2" w:rsidRPr="003F2DF9" w:rsidRDefault="007E26C2" w:rsidP="003B40BC">
            <w:pPr>
              <w:pStyle w:val="TAL"/>
              <w:widowControl w:val="0"/>
              <w:spacing w:before="60"/>
              <w:jc w:val="both"/>
              <w:rPr>
                <w:rFonts w:eastAsia="MS Mincho"/>
                <w:lang w:eastAsia="ja-JP"/>
              </w:rPr>
            </w:pPr>
            <w:r w:rsidRPr="003F2DF9">
              <w:rPr>
                <w:lang w:eastAsia="ko-KR"/>
              </w:rPr>
              <w:t>Note 11:</w:t>
            </w:r>
            <w:r w:rsidRPr="003F2DF9">
              <w:rPr>
                <w:lang w:eastAsia="ko-KR"/>
              </w:rPr>
              <w:tab/>
              <w:t>For MBMS-dedicated carrier, SI-RNTI may be assigned with two values which may be used in same subframe</w:t>
            </w:r>
          </w:p>
        </w:tc>
      </w:tr>
    </w:tbl>
    <w:p w14:paraId="533A9DEF" w14:textId="41468354" w:rsidR="007E26C2" w:rsidRDefault="007E26C2" w:rsidP="00287DCE">
      <w:pPr>
        <w:rPr>
          <w:lang w:val="en-US"/>
        </w:rPr>
      </w:pPr>
    </w:p>
    <w:p w14:paraId="2F759D23" w14:textId="28853F1C" w:rsidR="005A6B48" w:rsidRDefault="007E26C2" w:rsidP="00287DCE">
      <w:pPr>
        <w:rPr>
          <w:lang w:val="en-US"/>
        </w:rPr>
      </w:pPr>
      <w:r>
        <w:rPr>
          <w:lang w:val="en-US"/>
        </w:rPr>
        <w:t>Thus, a UE is not expected to receive two DCIs with the same SI-RNTI in the same subframe. In this sense, the claim of [3] that introducing a repetition of AL8 being beneficial for legacy UEs may not be accurate, since the behavior of legacy UEs is not specified in this case (e.g. some legacy UEs may choose to ignore both DCIs).</w:t>
      </w:r>
      <w:r w:rsidR="00A1071B">
        <w:rPr>
          <w:lang w:val="en-US"/>
        </w:rPr>
        <w:t xml:space="preserve"> </w:t>
      </w:r>
    </w:p>
    <w:p w14:paraId="4E1A18C9" w14:textId="75E30237" w:rsidR="005A6B48" w:rsidRPr="005A6B48" w:rsidRDefault="005A6B48" w:rsidP="00287DCE">
      <w:pPr>
        <w:rPr>
          <w:b/>
          <w:bCs/>
          <w:lang w:val="en-US"/>
        </w:rPr>
      </w:pPr>
      <w:r w:rsidRPr="000F1656">
        <w:rPr>
          <w:b/>
          <w:bCs/>
          <w:i/>
          <w:u w:val="single"/>
          <w:lang w:val="en-US"/>
        </w:rPr>
        <w:t xml:space="preserve">Observation </w:t>
      </w:r>
      <w:r w:rsidR="000F1656">
        <w:rPr>
          <w:b/>
          <w:bCs/>
          <w:i/>
          <w:u w:val="single"/>
          <w:lang w:val="en-US"/>
        </w:rPr>
        <w:t>1</w:t>
      </w:r>
      <w:r>
        <w:rPr>
          <w:b/>
          <w:bCs/>
          <w:lang w:val="en-US"/>
        </w:rPr>
        <w:t>:</w:t>
      </w:r>
      <w:r w:rsidRPr="005A6B48">
        <w:rPr>
          <w:b/>
          <w:bCs/>
          <w:lang w:val="en-US"/>
        </w:rPr>
        <w:t xml:space="preserve"> The behavior of the legacy UE upon receiving two </w:t>
      </w:r>
      <w:r w:rsidR="004F6EFD">
        <w:rPr>
          <w:b/>
          <w:bCs/>
          <w:lang w:val="en-US"/>
        </w:rPr>
        <w:t xml:space="preserve">identical </w:t>
      </w:r>
      <w:r w:rsidRPr="005A6B48">
        <w:rPr>
          <w:b/>
          <w:bCs/>
          <w:lang w:val="en-US"/>
        </w:rPr>
        <w:t>PDCCH</w:t>
      </w:r>
      <w:r w:rsidR="004F6EFD">
        <w:rPr>
          <w:b/>
          <w:bCs/>
          <w:lang w:val="en-US"/>
        </w:rPr>
        <w:t xml:space="preserve">s </w:t>
      </w:r>
      <w:r w:rsidRPr="005A6B48">
        <w:rPr>
          <w:b/>
          <w:bCs/>
          <w:lang w:val="en-US"/>
        </w:rPr>
        <w:t xml:space="preserve">with AL8 is unpredictable. </w:t>
      </w:r>
    </w:p>
    <w:p w14:paraId="5A35C563" w14:textId="77777777" w:rsidR="005A6B48" w:rsidRDefault="005A6B48" w:rsidP="00213812">
      <w:pPr>
        <w:rPr>
          <w:lang w:val="en-US"/>
        </w:rPr>
      </w:pPr>
      <w:r>
        <w:rPr>
          <w:lang w:val="en-US"/>
        </w:rPr>
        <w:t>To avoid this unpredictability, there would be a need to encode the second AL8 in such way to prevent the legacy UE from detecting it. This brings about the following tw</w:t>
      </w:r>
      <w:r w:rsidR="00213812">
        <w:rPr>
          <w:lang w:val="en-US"/>
        </w:rPr>
        <w:t>o</w:t>
      </w:r>
      <w:r>
        <w:rPr>
          <w:lang w:val="en-US"/>
        </w:rPr>
        <w:t xml:space="preserve"> options for PDCCH enhancement:</w:t>
      </w:r>
    </w:p>
    <w:p w14:paraId="5BE25628" w14:textId="77777777" w:rsidR="005A6B48" w:rsidRPr="00287DCE" w:rsidRDefault="005A6B48" w:rsidP="005A6B48">
      <w:pPr>
        <w:ind w:left="360"/>
        <w:rPr>
          <w:b/>
          <w:bCs/>
          <w:lang w:val="en-US"/>
        </w:rPr>
      </w:pPr>
      <w:r>
        <w:rPr>
          <w:lang w:val="en-US"/>
        </w:rPr>
        <w:t>a)</w:t>
      </w:r>
      <w:r>
        <w:rPr>
          <w:lang w:val="en-US"/>
        </w:rPr>
        <w:tab/>
        <w:t>Specify PDCCH with new aggregation level 16 (AL16)</w:t>
      </w:r>
    </w:p>
    <w:p w14:paraId="15102BA7" w14:textId="77777777" w:rsidR="005A6B48" w:rsidRDefault="005A6B48" w:rsidP="005A6B48">
      <w:pPr>
        <w:ind w:left="360"/>
        <w:rPr>
          <w:b/>
          <w:bCs/>
          <w:lang w:val="en-US"/>
        </w:rPr>
      </w:pPr>
      <w:r>
        <w:rPr>
          <w:lang w:val="en-US"/>
        </w:rPr>
        <w:t>b)</w:t>
      </w:r>
      <w:r>
        <w:rPr>
          <w:lang w:val="en-US"/>
        </w:rPr>
        <w:tab/>
        <w:t xml:space="preserve">Specify a mechanism for repetition of PDCCH with AL8 such that the </w:t>
      </w:r>
      <w:r w:rsidR="00213812">
        <w:rPr>
          <w:lang w:val="en-US"/>
        </w:rPr>
        <w:t>repeated</w:t>
      </w:r>
      <w:r>
        <w:rPr>
          <w:lang w:val="en-US"/>
        </w:rPr>
        <w:t xml:space="preserve"> PDCCH cannot be detected by the legacy UE</w:t>
      </w:r>
      <w:r w:rsidR="00213812">
        <w:rPr>
          <w:lang w:val="en-US"/>
        </w:rPr>
        <w:t>.</w:t>
      </w:r>
    </w:p>
    <w:p w14:paraId="61A2F850" w14:textId="35B0E9C3" w:rsidR="00581423" w:rsidRDefault="00581423" w:rsidP="00581423">
      <w:pPr>
        <w:pStyle w:val="Heading2"/>
      </w:pPr>
      <w:r>
        <w:t>3.1 Backwards compatible AL16 candidate design for PDCCH</w:t>
      </w:r>
    </w:p>
    <w:p w14:paraId="3DF291DF" w14:textId="252624BE" w:rsidR="00581423" w:rsidRDefault="003C772A" w:rsidP="00581423">
      <w:r>
        <w:t>The</w:t>
      </w:r>
      <w:r w:rsidR="00581423">
        <w:t xml:space="preserve"> design of an AL16 PDCCH candidate that is backwards compatible with a legacy AL8 PDCCH candidate proceeds </w:t>
      </w:r>
      <w:r>
        <w:t>(in line with the procedures in TS 36.21</w:t>
      </w:r>
      <w:r w:rsidR="00677D3B">
        <w:t>1</w:t>
      </w:r>
      <w:r>
        <w:t xml:space="preserve">) </w:t>
      </w:r>
      <w:r w:rsidR="00581423">
        <w:t>in the following steps:</w:t>
      </w:r>
    </w:p>
    <w:p w14:paraId="2BF5BBEA" w14:textId="69A89B39" w:rsidR="00581423" w:rsidRPr="00581423" w:rsidRDefault="00581423" w:rsidP="000F1656">
      <w:pPr>
        <w:numPr>
          <w:ilvl w:val="0"/>
          <w:numId w:val="2"/>
        </w:numPr>
        <w:rPr>
          <w:lang w:val="en-US"/>
        </w:rPr>
      </w:pPr>
      <w:r w:rsidRPr="00581423">
        <w:rPr>
          <w:b/>
          <w:bCs/>
          <w:u w:val="single"/>
          <w:lang w:val="en-US"/>
        </w:rPr>
        <w:t xml:space="preserve">Step </w:t>
      </w:r>
      <w:r w:rsidR="009A4793">
        <w:rPr>
          <w:b/>
          <w:bCs/>
          <w:u w:val="single"/>
          <w:lang w:val="en-US"/>
        </w:rPr>
        <w:t>1</w:t>
      </w:r>
      <w:r w:rsidRPr="00581423">
        <w:rPr>
          <w:lang w:val="en-US"/>
        </w:rPr>
        <w:t xml:space="preserve">: We rate-match the encoder output from the TBCC encoder </w:t>
      </w:r>
      <w:r>
        <w:rPr>
          <w:lang w:val="en-US"/>
        </w:rPr>
        <w:t xml:space="preserve">corresponding to the PDCCH payload </w:t>
      </w:r>
      <w:r w:rsidRPr="00581423">
        <w:rPr>
          <w:lang w:val="en-US"/>
        </w:rPr>
        <w:t xml:space="preserve">to a length corresponding to </w:t>
      </w:r>
      <m:oMath>
        <m:r>
          <w:rPr>
            <w:rFonts w:ascii="Cambria Math" w:hAnsi="Cambria Math"/>
            <w:lang w:val="en-US"/>
          </w:rPr>
          <m:t>L× 9×4×2=72×L</m:t>
        </m:r>
      </m:oMath>
      <w:r w:rsidRPr="00581423">
        <w:rPr>
          <w:lang w:val="en-US"/>
        </w:rPr>
        <w:t xml:space="preserve"> bits, where the order and position of the first </w:t>
      </w:r>
      <m:oMath>
        <m:r>
          <w:rPr>
            <w:rFonts w:ascii="Cambria Math" w:hAnsi="Cambria Math"/>
            <w:lang w:val="en-US"/>
          </w:rPr>
          <m:t>72×8</m:t>
        </m:r>
      </m:oMath>
      <w:r w:rsidRPr="00581423">
        <w:rPr>
          <w:lang w:val="en-US"/>
        </w:rPr>
        <w:t xml:space="preserve"> bits (corresponding to the legacy 8 CCE candidate) are unchanged</w:t>
      </w:r>
      <w:r>
        <w:rPr>
          <w:lang w:val="en-US"/>
        </w:rPr>
        <w:t xml:space="preserve">. </w:t>
      </w:r>
      <m:oMath>
        <m:r>
          <w:rPr>
            <w:rFonts w:ascii="Cambria Math" w:hAnsi="Cambria Math"/>
            <w:lang w:val="en-US"/>
          </w:rPr>
          <m:t>L</m:t>
        </m:r>
      </m:oMath>
      <w:r w:rsidR="009A4793">
        <w:rPr>
          <w:lang w:val="en-US"/>
        </w:rPr>
        <w:t>,</w:t>
      </w:r>
      <w:r>
        <w:rPr>
          <w:lang w:val="en-US"/>
        </w:rPr>
        <w:t xml:space="preserve"> for an AL16 candidate</w:t>
      </w:r>
      <w:r w:rsidR="009A4793">
        <w:rPr>
          <w:lang w:val="en-US"/>
        </w:rPr>
        <w:t>,</w:t>
      </w:r>
      <w:r>
        <w:rPr>
          <w:lang w:val="en-US"/>
        </w:rPr>
        <w:t xml:space="preserve"> is 16.</w:t>
      </w:r>
    </w:p>
    <w:p w14:paraId="334AF23A" w14:textId="1C611236" w:rsidR="009A4793" w:rsidRDefault="00581423" w:rsidP="000F1656">
      <w:pPr>
        <w:numPr>
          <w:ilvl w:val="0"/>
          <w:numId w:val="2"/>
        </w:numPr>
        <w:rPr>
          <w:lang w:val="en-US"/>
        </w:rPr>
      </w:pPr>
      <w:r w:rsidRPr="00581423">
        <w:rPr>
          <w:b/>
          <w:bCs/>
          <w:u w:val="single"/>
          <w:lang w:val="en-US"/>
        </w:rPr>
        <w:t xml:space="preserve">Step </w:t>
      </w:r>
      <w:r w:rsidR="009A4793">
        <w:rPr>
          <w:b/>
          <w:bCs/>
          <w:u w:val="single"/>
          <w:lang w:val="en-US"/>
        </w:rPr>
        <w:t>2</w:t>
      </w:r>
      <w:r w:rsidRPr="00581423">
        <w:rPr>
          <w:lang w:val="en-US"/>
        </w:rPr>
        <w:t>: We map this overall bitstream (comprising legacy bits in unchanged positions, and additional bits from the rate-matching output, together with &lt;NIL&gt; elements</w:t>
      </w:r>
      <w:r w:rsidR="009A4793">
        <w:rPr>
          <w:lang w:val="en-US"/>
        </w:rPr>
        <w:t>) ensuring that the scrambling sequence for the legacy part of the bitstream is unchanged</w:t>
      </w:r>
      <w:r w:rsidRPr="00581423">
        <w:rPr>
          <w:lang w:val="en-US"/>
        </w:rPr>
        <w:t>, per the procedures in TS36.211 Section 6.8.3 onwards.</w:t>
      </w:r>
    </w:p>
    <w:p w14:paraId="54072DD9" w14:textId="0457C90E" w:rsidR="00581423" w:rsidRDefault="009A4793" w:rsidP="000F1656">
      <w:pPr>
        <w:numPr>
          <w:ilvl w:val="1"/>
          <w:numId w:val="2"/>
        </w:numPr>
        <w:rPr>
          <w:lang w:val="en-US"/>
        </w:rPr>
      </w:pPr>
      <w:r w:rsidRPr="009A4793">
        <w:rPr>
          <w:bCs/>
          <w:lang w:val="en-US"/>
        </w:rPr>
        <w:t>Any additional or different scrambling for the non</w:t>
      </w:r>
      <w:r w:rsidRPr="009A4793">
        <w:rPr>
          <w:lang w:val="en-US"/>
        </w:rPr>
        <w:t>-legacy bits is FFS</w:t>
      </w:r>
      <w:r w:rsidR="00581423" w:rsidRPr="00581423">
        <w:rPr>
          <w:lang w:val="en-US"/>
        </w:rPr>
        <w:t xml:space="preserve"> </w:t>
      </w:r>
    </w:p>
    <w:p w14:paraId="336EA40F" w14:textId="2A998447" w:rsidR="00581423" w:rsidRPr="00581423" w:rsidRDefault="009A4793" w:rsidP="00581423">
      <w:r>
        <w:rPr>
          <w:lang w:val="en-US"/>
        </w:rPr>
        <w:t>We also note that the above procedure straightforwardly generalizes to other values of extended aggregation levels, if desired.</w:t>
      </w:r>
    </w:p>
    <w:p w14:paraId="21F8B96A" w14:textId="7C688DCC" w:rsidR="00694F0E" w:rsidRDefault="00532323" w:rsidP="00480EA4">
      <w:pPr>
        <w:rPr>
          <w:b/>
          <w:bCs/>
          <w:lang w:val="en-US"/>
        </w:rPr>
      </w:pPr>
      <w:r w:rsidRPr="000F1656">
        <w:rPr>
          <w:b/>
          <w:bCs/>
          <w:i/>
          <w:u w:val="single"/>
          <w:lang w:val="en-US"/>
        </w:rPr>
        <w:t>Proposal</w:t>
      </w:r>
      <w:r w:rsidR="00160AD2" w:rsidRPr="000F1656">
        <w:rPr>
          <w:b/>
          <w:bCs/>
          <w:i/>
          <w:u w:val="single"/>
          <w:lang w:val="en-US"/>
        </w:rPr>
        <w:t xml:space="preserve"> </w:t>
      </w:r>
      <w:r w:rsidR="00D937A1" w:rsidRPr="000F1656">
        <w:rPr>
          <w:b/>
          <w:bCs/>
          <w:i/>
          <w:u w:val="single"/>
          <w:lang w:val="en-US"/>
        </w:rPr>
        <w:t>2</w:t>
      </w:r>
      <w:r>
        <w:rPr>
          <w:b/>
          <w:bCs/>
          <w:lang w:val="en-US"/>
        </w:rPr>
        <w:t>:</w:t>
      </w:r>
      <w:r w:rsidR="00581423">
        <w:rPr>
          <w:b/>
          <w:bCs/>
          <w:lang w:val="en-US"/>
        </w:rPr>
        <w:t xml:space="preserve"> A </w:t>
      </w:r>
      <w:r w:rsidR="00111DF5">
        <w:rPr>
          <w:b/>
          <w:bCs/>
          <w:lang w:val="en-US"/>
        </w:rPr>
        <w:t xml:space="preserve">PDCCH </w:t>
      </w:r>
      <w:r w:rsidR="00581423">
        <w:rPr>
          <w:b/>
          <w:bCs/>
          <w:lang w:val="en-US"/>
        </w:rPr>
        <w:t xml:space="preserve">candidate </w:t>
      </w:r>
      <w:r w:rsidR="004208CB">
        <w:rPr>
          <w:b/>
          <w:bCs/>
          <w:lang w:val="en-US"/>
        </w:rPr>
        <w:t xml:space="preserve">with </w:t>
      </w:r>
      <w:r>
        <w:rPr>
          <w:b/>
          <w:bCs/>
          <w:lang w:val="en-US"/>
        </w:rPr>
        <w:t xml:space="preserve">aggregation level </w:t>
      </w:r>
      <w:r w:rsidR="00111DF5">
        <w:rPr>
          <w:b/>
          <w:bCs/>
          <w:lang w:val="en-US"/>
        </w:rPr>
        <w:t xml:space="preserve">16 </w:t>
      </w:r>
      <w:r w:rsidR="00581423">
        <w:rPr>
          <w:b/>
          <w:bCs/>
          <w:lang w:val="en-US"/>
        </w:rPr>
        <w:t xml:space="preserve">retaining backwards compatibility with a legacy PDCCH candidate of aggregation level 8 </w:t>
      </w:r>
      <w:r w:rsidR="004208CB">
        <w:rPr>
          <w:b/>
          <w:bCs/>
          <w:lang w:val="en-US"/>
        </w:rPr>
        <w:t>is</w:t>
      </w:r>
      <w:r w:rsidR="00220E19">
        <w:rPr>
          <w:b/>
          <w:bCs/>
          <w:lang w:val="en-US"/>
        </w:rPr>
        <w:t xml:space="preserve"> specified</w:t>
      </w:r>
      <w:r>
        <w:rPr>
          <w:b/>
          <w:bCs/>
          <w:lang w:val="en-US"/>
        </w:rPr>
        <w:t xml:space="preserve">. </w:t>
      </w:r>
    </w:p>
    <w:p w14:paraId="5DEDDD0A" w14:textId="77777777" w:rsidR="00A3529E" w:rsidRDefault="00900EE5" w:rsidP="00231A8B">
      <w:pPr>
        <w:pStyle w:val="Heading1"/>
      </w:pPr>
      <w:r>
        <w:lastRenderedPageBreak/>
        <w:t>4</w:t>
      </w:r>
      <w:r w:rsidR="00231A8B">
        <w:tab/>
        <w:t>Analysis of PDSCH reception</w:t>
      </w:r>
    </w:p>
    <w:p w14:paraId="0945B80E" w14:textId="5E7450D0" w:rsidR="00D937A1" w:rsidRDefault="001D0BE3" w:rsidP="004F4607">
      <w:r>
        <w:t xml:space="preserve">In this section we analyse the reception of the SIBs on PDSCH. </w:t>
      </w:r>
      <w:r w:rsidR="00900EE5">
        <w:t>In [2], we determine that</w:t>
      </w:r>
      <w:r w:rsidR="00D937A1">
        <w:t>:</w:t>
      </w:r>
    </w:p>
    <w:p w14:paraId="52B2A862" w14:textId="77777777" w:rsidR="00D937A1" w:rsidRDefault="00D937A1" w:rsidP="00D937A1">
      <w:pPr>
        <w:pStyle w:val="B1"/>
      </w:pPr>
      <w:r>
        <w:t>-</w:t>
      </w:r>
      <w:r>
        <w:tab/>
      </w:r>
      <w:r w:rsidR="00900EE5">
        <w:t>the TBS for SIB1-MBMS with SIB13 included would be 176 bits</w:t>
      </w:r>
      <w:r>
        <w:t>; and</w:t>
      </w:r>
    </w:p>
    <w:p w14:paraId="3C8B32F6" w14:textId="77777777" w:rsidR="009A4793" w:rsidRDefault="00D937A1" w:rsidP="00D937A1">
      <w:pPr>
        <w:pStyle w:val="B1"/>
      </w:pPr>
      <w:r>
        <w:t>-</w:t>
      </w:r>
      <w:r>
        <w:tab/>
        <w:t>the SNR level for 99% coverage is -5.9 dB</w:t>
      </w:r>
      <w:r w:rsidR="00900EE5">
        <w:t xml:space="preserve"> </w:t>
      </w:r>
    </w:p>
    <w:p w14:paraId="2AF29364" w14:textId="4C7B4EC2" w:rsidR="00D937A1" w:rsidRDefault="009A4793" w:rsidP="009A4793">
      <w:pPr>
        <w:pStyle w:val="B1"/>
        <w:ind w:left="0" w:firstLine="0"/>
      </w:pPr>
      <w:r>
        <w:t xml:space="preserve">To err on the side of caution, we increase our payload size to a larger TBS size of 208 bits. This should be well </w:t>
      </w:r>
      <w:proofErr w:type="gramStart"/>
      <w:r>
        <w:t>sufficient</w:t>
      </w:r>
      <w:proofErr w:type="gramEnd"/>
      <w:r>
        <w:t xml:space="preserve"> to accommodate any additional SIB signalling (</w:t>
      </w:r>
      <w:proofErr w:type="spellStart"/>
      <w:r>
        <w:t>e.g</w:t>
      </w:r>
      <w:proofErr w:type="spellEnd"/>
      <w:r>
        <w:t xml:space="preserve">, subcarrier spacings for new numerologies) that may be required post </w:t>
      </w:r>
      <w:proofErr w:type="spellStart"/>
      <w:r>
        <w:t>Rel</w:t>
      </w:r>
      <w:proofErr w:type="spellEnd"/>
      <w:r>
        <w:t xml:space="preserve"> 16 enhancements.</w:t>
      </w:r>
      <w:r w:rsidR="00900EE5">
        <w:t xml:space="preserve"> </w:t>
      </w:r>
    </w:p>
    <w:p w14:paraId="15A1D445" w14:textId="6E47B5A0" w:rsidR="009A4793" w:rsidRDefault="00D937A1" w:rsidP="004666BB">
      <w:r>
        <w:t>Figure 2 shows the link level evaluation</w:t>
      </w:r>
      <w:r w:rsidR="009A4793">
        <w:t xml:space="preserve"> (for a 10 MHz system)</w:t>
      </w:r>
      <w:r>
        <w:t xml:space="preserve"> of PDSCH with TBS = </w:t>
      </w:r>
      <w:r w:rsidR="009A4793">
        <w:t>208 bits</w:t>
      </w:r>
      <w:r>
        <w:t xml:space="preserve">. </w:t>
      </w:r>
      <w:r w:rsidR="009A4793">
        <w:t>We note the following two features about the simulations:</w:t>
      </w:r>
    </w:p>
    <w:p w14:paraId="01D4620C" w14:textId="3ACA741A" w:rsidR="009A4793" w:rsidRPr="00C0297E" w:rsidRDefault="009A4793" w:rsidP="000F1656">
      <w:pPr>
        <w:pStyle w:val="ListParagraph"/>
        <w:numPr>
          <w:ilvl w:val="0"/>
          <w:numId w:val="3"/>
        </w:numPr>
        <w:rPr>
          <w:rFonts w:ascii="Times New Roman" w:hAnsi="Times New Roman" w:cs="Times New Roman"/>
          <w:sz w:val="20"/>
          <w:szCs w:val="20"/>
        </w:rPr>
      </w:pPr>
      <w:r w:rsidRPr="00C0297E">
        <w:rPr>
          <w:rFonts w:ascii="Times New Roman" w:hAnsi="Times New Roman" w:cs="Times New Roman"/>
          <w:sz w:val="20"/>
          <w:szCs w:val="20"/>
        </w:rPr>
        <w:t>The center 6 RBs are not used for PDSCH mapping—this is to apportion for PBCH repetitions</w:t>
      </w:r>
    </w:p>
    <w:p w14:paraId="03D4E0F7" w14:textId="36C47F6A" w:rsidR="009A4793" w:rsidRPr="00C0297E" w:rsidRDefault="009A4793" w:rsidP="000F1656">
      <w:pPr>
        <w:pStyle w:val="ListParagraph"/>
        <w:numPr>
          <w:ilvl w:val="0"/>
          <w:numId w:val="3"/>
        </w:numPr>
        <w:rPr>
          <w:rFonts w:ascii="Times New Roman" w:hAnsi="Times New Roman" w:cs="Times New Roman"/>
          <w:sz w:val="20"/>
          <w:szCs w:val="20"/>
        </w:rPr>
      </w:pPr>
      <w:r w:rsidRPr="00C0297E">
        <w:rPr>
          <w:rFonts w:ascii="Times New Roman" w:hAnsi="Times New Roman" w:cs="Times New Roman"/>
          <w:sz w:val="20"/>
          <w:szCs w:val="20"/>
        </w:rPr>
        <w:t>No cross-TTI HARQ combining is performed—in practice, it is possible to combine the PDSCHs associated with SIB across two consecutive TTIs, which would further boost performance.</w:t>
      </w:r>
    </w:p>
    <w:p w14:paraId="370D2A5C" w14:textId="6544F07E" w:rsidR="00042825" w:rsidRDefault="009A4793" w:rsidP="004666BB">
      <w:r>
        <w:t>Even so, we</w:t>
      </w:r>
      <w:r w:rsidR="003625E6">
        <w:t xml:space="preserve"> </w:t>
      </w:r>
      <w:r w:rsidR="00C0297E">
        <w:t>conclude</w:t>
      </w:r>
      <w:r w:rsidR="003625E6">
        <w:t xml:space="preserve"> </w:t>
      </w:r>
      <w:r w:rsidR="00C0297E">
        <w:t xml:space="preserve">from Figure 2 </w:t>
      </w:r>
      <w:r w:rsidR="003625E6">
        <w:t xml:space="preserve">that the SNR needed to achieve 1% BLER is below the </w:t>
      </w:r>
      <w:proofErr w:type="gramStart"/>
      <w:r w:rsidR="003625E6">
        <w:t>-5.9 dB</w:t>
      </w:r>
      <w:proofErr w:type="gramEnd"/>
      <w:r w:rsidR="003625E6">
        <w:t xml:space="preserve"> target</w:t>
      </w:r>
      <w:r w:rsidR="00C0297E">
        <w:t xml:space="preserve"> for 99% SNR in the limiting car-mounted LPLT scenario.</w:t>
      </w:r>
    </w:p>
    <w:p w14:paraId="3765CF88" w14:textId="77777777" w:rsidR="00C0297E" w:rsidRDefault="00C0297E" w:rsidP="00C0297E">
      <w:pPr>
        <w:keepNext/>
        <w:jc w:val="center"/>
      </w:pPr>
      <w:r>
        <w:rPr>
          <w:noProof/>
        </w:rPr>
        <w:drawing>
          <wp:inline distT="0" distB="0" distL="0" distR="0" wp14:anchorId="62F284F0" wp14:editId="5156D099">
            <wp:extent cx="4133850" cy="310038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S_PDSCH_Basic_208.png"/>
                    <pic:cNvPicPr/>
                  </pic:nvPicPr>
                  <pic:blipFill>
                    <a:blip r:embed="rId12">
                      <a:extLst>
                        <a:ext uri="{28A0092B-C50C-407E-A947-70E740481C1C}">
                          <a14:useLocalDpi xmlns:a14="http://schemas.microsoft.com/office/drawing/2010/main" val="0"/>
                        </a:ext>
                      </a:extLst>
                    </a:blip>
                    <a:stretch>
                      <a:fillRect/>
                    </a:stretch>
                  </pic:blipFill>
                  <pic:spPr>
                    <a:xfrm>
                      <a:off x="0" y="0"/>
                      <a:ext cx="4153115" cy="3114836"/>
                    </a:xfrm>
                    <a:prstGeom prst="rect">
                      <a:avLst/>
                    </a:prstGeom>
                  </pic:spPr>
                </pic:pic>
              </a:graphicData>
            </a:graphic>
          </wp:inline>
        </w:drawing>
      </w:r>
    </w:p>
    <w:p w14:paraId="0F1EECC2" w14:textId="048362DF" w:rsidR="004666BB" w:rsidRPr="003625E6" w:rsidRDefault="00C0297E" w:rsidP="00C0297E">
      <w:pPr>
        <w:pStyle w:val="Caption"/>
        <w:jc w:val="center"/>
      </w:pPr>
      <w:r>
        <w:t>Figure 2: CAS PDSCH link simulation for car-mounted LPLT scenario</w:t>
      </w:r>
    </w:p>
    <w:p w14:paraId="383C0B76" w14:textId="71B65FCA" w:rsidR="00677D3B" w:rsidRPr="00677D3B" w:rsidRDefault="00C0297E" w:rsidP="00677D3B">
      <w:pPr>
        <w:rPr>
          <w:b/>
        </w:rPr>
      </w:pPr>
      <w:r w:rsidRPr="000F1656">
        <w:rPr>
          <w:b/>
          <w:bCs/>
          <w:i/>
          <w:u w:val="single"/>
        </w:rPr>
        <w:t xml:space="preserve">Observation </w:t>
      </w:r>
      <w:r w:rsidR="000F1656" w:rsidRPr="000F1656">
        <w:rPr>
          <w:b/>
          <w:bCs/>
          <w:i/>
          <w:u w:val="single"/>
        </w:rPr>
        <w:t>2</w:t>
      </w:r>
      <w:r w:rsidR="00725C05" w:rsidRPr="00725C05">
        <w:rPr>
          <w:b/>
          <w:bCs/>
        </w:rPr>
        <w:t xml:space="preserve">: PDSCH </w:t>
      </w:r>
      <w:r>
        <w:rPr>
          <w:b/>
          <w:bCs/>
        </w:rPr>
        <w:t xml:space="preserve">decoding </w:t>
      </w:r>
      <w:r w:rsidR="00D937A1">
        <w:rPr>
          <w:b/>
          <w:bCs/>
        </w:rPr>
        <w:t>is</w:t>
      </w:r>
      <w:r w:rsidR="00725C05" w:rsidRPr="00725C05">
        <w:rPr>
          <w:b/>
          <w:bCs/>
        </w:rPr>
        <w:t xml:space="preserve"> not a bottleneck for CAS reception.</w:t>
      </w:r>
    </w:p>
    <w:p w14:paraId="73D7628B" w14:textId="4B06F47E" w:rsidR="000B0ADC" w:rsidRPr="000B0ADC" w:rsidRDefault="000D1D2D" w:rsidP="000B0ADC">
      <w:pPr>
        <w:pStyle w:val="Heading1"/>
        <w:rPr>
          <w:lang w:val="en-US"/>
        </w:rPr>
      </w:pPr>
      <w:r>
        <w:rPr>
          <w:lang w:val="en-US"/>
        </w:rPr>
        <w:t>5</w:t>
      </w:r>
      <w:r w:rsidR="00310E91">
        <w:rPr>
          <w:lang w:val="en-US"/>
        </w:rPr>
        <w:tab/>
        <w:t>Conclusion</w:t>
      </w:r>
    </w:p>
    <w:p w14:paraId="28EC6230" w14:textId="0DDDC9BB" w:rsidR="00DC65C2" w:rsidRDefault="00DC65C2" w:rsidP="00310E91">
      <w:r w:rsidRPr="00DC65C2">
        <w:t>Below is the summary of the observations and proposals:</w:t>
      </w:r>
    </w:p>
    <w:p w14:paraId="3724CE03" w14:textId="77777777" w:rsidR="00642298" w:rsidRPr="00EB347E" w:rsidRDefault="00642298" w:rsidP="00642298">
      <w:pPr>
        <w:overflowPunct/>
        <w:autoSpaceDE/>
        <w:autoSpaceDN/>
        <w:adjustRightInd/>
        <w:spacing w:after="160" w:line="259" w:lineRule="auto"/>
        <w:textAlignment w:val="auto"/>
        <w:rPr>
          <w:rFonts w:eastAsiaTheme="minorHAnsi"/>
          <w:b/>
          <w:lang w:val="en-US" w:eastAsia="en-US"/>
        </w:rPr>
      </w:pPr>
      <w:r w:rsidRPr="00EB347E">
        <w:rPr>
          <w:rFonts w:eastAsiaTheme="minorHAnsi"/>
          <w:b/>
          <w:i/>
          <w:u w:val="single"/>
          <w:lang w:val="en-US" w:eastAsia="en-US"/>
        </w:rPr>
        <w:t>Proposal</w:t>
      </w:r>
      <w:r>
        <w:rPr>
          <w:rFonts w:eastAsiaTheme="minorHAnsi"/>
          <w:b/>
          <w:i/>
          <w:u w:val="single"/>
          <w:lang w:val="en-US" w:eastAsia="en-US"/>
        </w:rPr>
        <w:t xml:space="preserve"> 1</w:t>
      </w:r>
      <w:r w:rsidRPr="00EB347E">
        <w:rPr>
          <w:rFonts w:eastAsiaTheme="minorHAnsi"/>
          <w:b/>
          <w:lang w:val="en-US" w:eastAsia="en-US"/>
        </w:rPr>
        <w:t>: For PBCH repetitions within a CAS subframe, apply the following two steps in succession:</w:t>
      </w:r>
    </w:p>
    <w:p w14:paraId="1A001478" w14:textId="77777777" w:rsidR="00642298" w:rsidRPr="00EB347E" w:rsidRDefault="00642298" w:rsidP="00642298">
      <w:pPr>
        <w:numPr>
          <w:ilvl w:val="0"/>
          <w:numId w:val="9"/>
        </w:numPr>
        <w:overflowPunct/>
        <w:autoSpaceDE/>
        <w:autoSpaceDN/>
        <w:adjustRightInd/>
        <w:spacing w:after="160" w:line="259" w:lineRule="auto"/>
        <w:contextualSpacing/>
        <w:textAlignment w:val="auto"/>
        <w:rPr>
          <w:rFonts w:eastAsiaTheme="minorHAnsi"/>
          <w:b/>
          <w:lang w:val="en-US" w:eastAsia="en-US"/>
        </w:rPr>
      </w:pPr>
      <w:r w:rsidRPr="00EB347E">
        <w:rPr>
          <w:rFonts w:eastAsiaTheme="minorHAnsi"/>
          <w:b/>
          <w:lang w:val="en-US" w:eastAsia="en-US"/>
        </w:rPr>
        <w:t xml:space="preserve">Copy the contents of the 4 PBCH OFDM symbols </w:t>
      </w:r>
      <m:oMath>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0</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1</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2</m:t>
            </m:r>
          </m:sub>
        </m:sSub>
        <m:r>
          <m:rPr>
            <m:sty m:val="bi"/>
          </m:rPr>
          <w:rPr>
            <w:rFonts w:ascii="Cambria Math" w:eastAsiaTheme="minorHAnsi" w:hAnsi="Cambria Math"/>
            <w:lang w:val="en-US" w:eastAsia="en-US"/>
          </w:rPr>
          <m:t>,</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P</m:t>
            </m:r>
          </m:e>
          <m:sub>
            <m:r>
              <m:rPr>
                <m:sty m:val="bi"/>
              </m:rPr>
              <w:rPr>
                <w:rFonts w:ascii="Cambria Math" w:eastAsiaTheme="minorHAnsi" w:hAnsi="Cambria Math"/>
                <w:lang w:val="en-US" w:eastAsia="en-US"/>
              </w:rPr>
              <m:t>3</m:t>
            </m:r>
          </m:sub>
        </m:sSub>
        <m:r>
          <m:rPr>
            <m:sty m:val="bi"/>
          </m:rPr>
          <w:rPr>
            <w:rFonts w:ascii="Cambria Math" w:eastAsiaTheme="minorHAnsi" w:hAnsi="Cambria Math"/>
            <w:lang w:val="en-US" w:eastAsia="en-US"/>
          </w:rPr>
          <m:t>}</m:t>
        </m:r>
      </m:oMath>
      <w:r w:rsidRPr="00EB347E">
        <w:rPr>
          <w:rFonts w:eastAsiaTheme="minorHAnsi"/>
          <w:b/>
          <w:lang w:val="en-US" w:eastAsia="en-US"/>
        </w:rPr>
        <w:t xml:space="preserve"> to the center 6 RBs of the OFDM symbols </w:t>
      </w:r>
      <m:oMath>
        <m:r>
          <m:rPr>
            <m:sty m:val="bi"/>
          </m:rPr>
          <w:rPr>
            <w:rFonts w:ascii="Cambria Math" w:eastAsiaTheme="minorHAnsi" w:hAnsi="Cambria Math"/>
            <w:lang w:val="en-US" w:eastAsia="en-US"/>
          </w:rPr>
          <m:t>{3,4,11,12,13}</m:t>
        </m:r>
      </m:oMath>
      <w:r w:rsidRPr="00EB347E">
        <w:rPr>
          <w:rFonts w:eastAsiaTheme="minorEastAsia"/>
          <w:b/>
          <w:lang w:val="en-US" w:eastAsia="en-US"/>
        </w:rPr>
        <w:t xml:space="preserve">, where the mapping </w:t>
      </w:r>
      <w:r>
        <w:rPr>
          <w:rFonts w:eastAsiaTheme="minorEastAsia"/>
          <w:b/>
          <w:lang w:val="en-US" w:eastAsia="en-US"/>
        </w:rPr>
        <w:t xml:space="preserve">follows Table 6.6.4-1 for PBCH repetitions in TS 36.211 and is given by </w:t>
      </w:r>
      <w:r w:rsidRPr="00253A81">
        <w:rPr>
          <w:b/>
        </w:rPr>
        <w:t>{</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0</m:t>
            </m:r>
          </m:sub>
        </m:sSub>
        <m:r>
          <m:rPr>
            <m:sty m:val="bi"/>
          </m:rPr>
          <w:rPr>
            <w:rFonts w:ascii="Cambria Math" w:hAnsi="Cambria Math"/>
          </w:rPr>
          <m:t>→4,</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→11,</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→12,</m:t>
        </m:r>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3</m:t>
            </m:r>
          </m:sub>
        </m:sSub>
        <m:r>
          <m:rPr>
            <m:sty m:val="bi"/>
          </m:rPr>
          <w:rPr>
            <w:rFonts w:ascii="Cambria Math" w:hAnsi="Cambria Math"/>
          </w:rPr>
          <m:t>→3, 13</m:t>
        </m:r>
      </m:oMath>
      <w:r w:rsidRPr="00253A81">
        <w:rPr>
          <w:b/>
        </w:rPr>
        <w:t>}</w:t>
      </w:r>
      <w:r w:rsidRPr="00EB347E">
        <w:rPr>
          <w:rFonts w:eastAsiaTheme="minorEastAsia"/>
          <w:b/>
          <w:lang w:val="en-US" w:eastAsia="en-US"/>
        </w:rPr>
        <w:t xml:space="preserve"> </w:t>
      </w:r>
    </w:p>
    <w:p w14:paraId="101E0F19" w14:textId="77777777" w:rsidR="00642298" w:rsidRPr="00EB347E" w:rsidRDefault="00642298" w:rsidP="00642298">
      <w:pPr>
        <w:overflowPunct/>
        <w:autoSpaceDE/>
        <w:autoSpaceDN/>
        <w:adjustRightInd/>
        <w:spacing w:after="160" w:line="259" w:lineRule="auto"/>
        <w:ind w:left="720"/>
        <w:contextualSpacing/>
        <w:textAlignment w:val="auto"/>
        <w:rPr>
          <w:rFonts w:eastAsiaTheme="minorHAnsi"/>
          <w:b/>
          <w:lang w:val="en-US" w:eastAsia="en-US"/>
        </w:rPr>
      </w:pPr>
    </w:p>
    <w:p w14:paraId="6C35DAD7" w14:textId="77777777" w:rsidR="00642298" w:rsidRPr="00EB347E" w:rsidRDefault="00642298" w:rsidP="00642298">
      <w:pPr>
        <w:numPr>
          <w:ilvl w:val="0"/>
          <w:numId w:val="9"/>
        </w:numPr>
        <w:overflowPunct/>
        <w:autoSpaceDE/>
        <w:autoSpaceDN/>
        <w:adjustRightInd/>
        <w:spacing w:after="160" w:line="259" w:lineRule="auto"/>
        <w:contextualSpacing/>
        <w:textAlignment w:val="auto"/>
        <w:rPr>
          <w:rFonts w:eastAsiaTheme="minorHAnsi"/>
          <w:b/>
          <w:lang w:val="en-US" w:eastAsia="en-US"/>
        </w:rPr>
      </w:pPr>
      <w:r w:rsidRPr="00EB347E">
        <w:rPr>
          <w:rFonts w:eastAsiaTheme="minorEastAsia"/>
          <w:b/>
          <w:lang w:val="en-US" w:eastAsia="en-US"/>
        </w:rPr>
        <w:lastRenderedPageBreak/>
        <w:t xml:space="preserve">Multiply the copied PBCH symbols obtained in step 1 above with a randomly generated phase rotation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θ</m:t>
            </m:r>
          </m:e>
          <m:sub>
            <m:r>
              <m:rPr>
                <m:sty m:val="bi"/>
              </m:rPr>
              <w:rPr>
                <w:rFonts w:ascii="Cambria Math" w:eastAsiaTheme="minorEastAsia" w:hAnsi="Cambria Math"/>
                <w:lang w:val="en-US" w:eastAsia="en-US"/>
              </w:rPr>
              <m:t>l,k</m:t>
            </m:r>
          </m:sub>
        </m:sSub>
      </m:oMath>
      <w:r w:rsidRPr="00EB347E">
        <w:rPr>
          <w:rFonts w:eastAsiaTheme="minorEastAsia"/>
          <w:b/>
          <w:lang w:val="en-US" w:eastAsia="en-US"/>
        </w:rPr>
        <w:t xml:space="preserve"> at OFDM symbol </w:t>
      </w:r>
      <m:oMath>
        <m:r>
          <m:rPr>
            <m:sty m:val="bi"/>
          </m:rPr>
          <w:rPr>
            <w:rFonts w:ascii="Cambria Math" w:eastAsiaTheme="minorEastAsia" w:hAnsi="Cambria Math"/>
            <w:lang w:val="en-US" w:eastAsia="en-US"/>
          </w:rPr>
          <m:t>l</m:t>
        </m:r>
      </m:oMath>
      <w:r w:rsidRPr="00EB347E">
        <w:rPr>
          <w:rFonts w:eastAsiaTheme="minorEastAsia"/>
          <w:b/>
          <w:lang w:val="en-US" w:eastAsia="en-US"/>
        </w:rPr>
        <w:t xml:space="preserve"> and subcarrier </w:t>
      </w:r>
      <m:oMath>
        <m:r>
          <m:rPr>
            <m:sty m:val="bi"/>
          </m:rPr>
          <w:rPr>
            <w:rFonts w:ascii="Cambria Math" w:eastAsiaTheme="minorEastAsia" w:hAnsi="Cambria Math"/>
            <w:lang w:val="en-US" w:eastAsia="en-US"/>
          </w:rPr>
          <m:t>k</m:t>
        </m:r>
      </m:oMath>
      <w:r w:rsidRPr="00EB347E">
        <w:rPr>
          <w:rFonts w:eastAsiaTheme="minorEastAsia"/>
          <w:b/>
          <w:lang w:val="en-US" w:eastAsia="en-US"/>
        </w:rPr>
        <w:t xml:space="preserve">, where the length-144 Gold sequence at each OFDM symbol </w:t>
      </w:r>
      <m:oMath>
        <m:r>
          <m:rPr>
            <m:sty m:val="bi"/>
          </m:rPr>
          <w:rPr>
            <w:rFonts w:ascii="Cambria Math" w:eastAsiaTheme="minorEastAsia" w:hAnsi="Cambria Math"/>
            <w:lang w:val="en-US" w:eastAsia="en-US"/>
          </w:rPr>
          <m:t>l</m:t>
        </m:r>
      </m:oMath>
      <w:r w:rsidRPr="00EB347E">
        <w:rPr>
          <w:rFonts w:eastAsiaTheme="minorEastAsia"/>
          <w:b/>
          <w:lang w:val="en-US" w:eastAsia="en-US"/>
        </w:rPr>
        <w:t xml:space="preserve"> used to determine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θ</m:t>
            </m:r>
          </m:e>
          <m:sub>
            <m:r>
              <m:rPr>
                <m:sty m:val="bi"/>
              </m:rPr>
              <w:rPr>
                <w:rFonts w:ascii="Cambria Math" w:eastAsiaTheme="minorEastAsia" w:hAnsi="Cambria Math"/>
                <w:lang w:val="en-US" w:eastAsia="en-US"/>
              </w:rPr>
              <m:t>l,k</m:t>
            </m:r>
          </m:sub>
        </m:sSub>
      </m:oMath>
      <w:r w:rsidRPr="00EB347E">
        <w:rPr>
          <w:rFonts w:eastAsiaTheme="minorEastAsia"/>
          <w:b/>
          <w:lang w:val="en-US" w:eastAsia="en-US"/>
        </w:rPr>
        <w:t xml:space="preserve"> is initialized by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c</m:t>
            </m:r>
          </m:e>
          <m:sub>
            <m:r>
              <m:rPr>
                <m:sty m:val="bi"/>
              </m:rPr>
              <w:rPr>
                <w:rFonts w:ascii="Cambria Math" w:eastAsiaTheme="minorEastAsia" w:hAnsi="Cambria Math"/>
                <w:lang w:val="en-US" w:eastAsia="en-US"/>
              </w:rPr>
              <m:t>init,l</m:t>
            </m:r>
          </m:sub>
        </m:sSub>
        <m:r>
          <m:rPr>
            <m:sty m:val="bi"/>
          </m:rPr>
          <w:rPr>
            <w:rFonts w:ascii="Cambria Math" w:eastAsiaTheme="minorEastAsia" w:hAnsi="Cambria Math"/>
            <w:lang w:val="en-US" w:eastAsia="en-US"/>
          </w:rPr>
          <m:t>=</m:t>
        </m:r>
        <m:sSub>
          <m:sSubPr>
            <m:ctrlPr>
              <w:rPr>
                <w:rFonts w:ascii="Cambria Math" w:eastAsiaTheme="minorEastAsia" w:hAnsi="Cambria Math"/>
                <w:b/>
                <w:i/>
                <w:lang w:val="en-US" w:eastAsia="en-US"/>
              </w:rPr>
            </m:ctrlPr>
          </m:sSubPr>
          <m:e>
            <m:sSup>
              <m:sSupPr>
                <m:ctrlPr>
                  <w:rPr>
                    <w:rFonts w:ascii="Cambria Math" w:eastAsiaTheme="minorEastAsia" w:hAnsi="Cambria Math"/>
                    <w:b/>
                    <w:i/>
                    <w:lang w:val="en-US" w:eastAsia="en-US"/>
                  </w:rPr>
                </m:ctrlPr>
              </m:sSupPr>
              <m:e>
                <m:r>
                  <m:rPr>
                    <m:sty m:val="bi"/>
                  </m:rPr>
                  <w:rPr>
                    <w:rFonts w:ascii="Cambria Math" w:eastAsiaTheme="minorEastAsia" w:hAnsi="Cambria Math"/>
                    <w:lang w:val="en-US" w:eastAsia="en-US"/>
                  </w:rPr>
                  <m:t>2</m:t>
                </m:r>
              </m:e>
              <m:sup>
                <m:r>
                  <m:rPr>
                    <m:sty m:val="bi"/>
                  </m:rPr>
                  <w:rPr>
                    <w:rFonts w:ascii="Cambria Math" w:eastAsiaTheme="minorEastAsia" w:hAnsi="Cambria Math"/>
                    <w:lang w:val="en-US" w:eastAsia="en-US"/>
                  </w:rPr>
                  <m:t>13</m:t>
                </m:r>
              </m:sup>
            </m:sSup>
            <m:d>
              <m:dPr>
                <m:ctrlPr>
                  <w:rPr>
                    <w:rFonts w:ascii="Cambria Math" w:eastAsiaTheme="minorEastAsia" w:hAnsi="Cambria Math"/>
                    <w:b/>
                    <w:i/>
                    <w:lang w:val="en-US" w:eastAsia="en-US"/>
                  </w:rPr>
                </m:ctrlPr>
              </m:dPr>
              <m:e>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(N</m:t>
                    </m:r>
                  </m:e>
                  <m:sub>
                    <m:r>
                      <m:rPr>
                        <m:sty m:val="bi"/>
                      </m:rPr>
                      <w:rPr>
                        <w:rFonts w:ascii="Cambria Math" w:eastAsiaTheme="minorEastAsia" w:hAnsi="Cambria Math"/>
                        <w:lang w:val="en-US" w:eastAsia="en-US"/>
                      </w:rPr>
                      <m:t>ID</m:t>
                    </m:r>
                  </m:sub>
                </m:sSub>
                <m:r>
                  <m:rPr>
                    <m:sty m:val="bi"/>
                  </m:rPr>
                  <w:rPr>
                    <w:rFonts w:ascii="Cambria Math" w:eastAsiaTheme="minorEastAsia" w:hAnsi="Cambria Math"/>
                    <w:lang w:val="en-US" w:eastAsia="en-US"/>
                  </w:rPr>
                  <m:t>+1)×l</m:t>
                </m:r>
              </m:e>
            </m:d>
            <m:r>
              <m:rPr>
                <m:sty m:val="bi"/>
              </m:rPr>
              <w:rPr>
                <w:rFonts w:ascii="Cambria Math" w:eastAsiaTheme="minorEastAsia" w:hAnsi="Cambria Math"/>
                <w:lang w:val="en-US" w:eastAsia="en-US"/>
              </w:rPr>
              <m:t>+</m:t>
            </m:r>
            <m:sSup>
              <m:sSupPr>
                <m:ctrlPr>
                  <w:rPr>
                    <w:rFonts w:ascii="Cambria Math" w:eastAsiaTheme="minorEastAsia" w:hAnsi="Cambria Math"/>
                    <w:b/>
                    <w:i/>
                    <w:lang w:val="en-US" w:eastAsia="en-US"/>
                  </w:rPr>
                </m:ctrlPr>
              </m:sSupPr>
              <m:e>
                <m:r>
                  <m:rPr>
                    <m:sty m:val="bi"/>
                  </m:rPr>
                  <w:rPr>
                    <w:rFonts w:ascii="Cambria Math" w:eastAsiaTheme="minorEastAsia" w:hAnsi="Cambria Math"/>
                    <w:lang w:val="en-US" w:eastAsia="en-US"/>
                  </w:rPr>
                  <m:t>2</m:t>
                </m:r>
              </m:e>
              <m:sup>
                <m:r>
                  <m:rPr>
                    <m:sty m:val="bi"/>
                  </m:rPr>
                  <w:rPr>
                    <w:rFonts w:ascii="Cambria Math" w:eastAsiaTheme="minorEastAsia" w:hAnsi="Cambria Math"/>
                    <w:lang w:val="en-US" w:eastAsia="en-US"/>
                  </w:rPr>
                  <m:t>4</m:t>
                </m:r>
              </m:sup>
            </m:sSup>
            <m:r>
              <m:rPr>
                <m:sty m:val="bi"/>
              </m:rPr>
              <w:rPr>
                <w:rFonts w:ascii="Cambria Math" w:eastAsiaTheme="minorEastAsia" w:hAnsi="Cambria Math"/>
                <w:lang w:val="en-US" w:eastAsia="en-US"/>
              </w:rPr>
              <m:t>N</m:t>
            </m:r>
          </m:e>
          <m:sub>
            <m:r>
              <m:rPr>
                <m:sty m:val="bi"/>
              </m:rPr>
              <w:rPr>
                <w:rFonts w:ascii="Cambria Math" w:eastAsiaTheme="minorEastAsia" w:hAnsi="Cambria Math"/>
                <w:lang w:val="en-US" w:eastAsia="en-US"/>
              </w:rPr>
              <m:t>ID</m:t>
            </m:r>
          </m:sub>
        </m:sSub>
        <m:r>
          <m:rPr>
            <m:sty m:val="bi"/>
          </m:rPr>
          <w:rPr>
            <w:rFonts w:ascii="Cambria Math" w:eastAsiaTheme="minorEastAsia" w:hAnsi="Cambria Math"/>
            <w:lang w:val="en-US" w:eastAsia="en-US"/>
          </w:rPr>
          <m:t>+l</m:t>
        </m:r>
      </m:oMath>
      <w:r w:rsidRPr="00EB347E">
        <w:rPr>
          <w:rFonts w:eastAsiaTheme="minorEastAsia"/>
          <w:lang w:val="en-US" w:eastAsia="en-US"/>
        </w:rPr>
        <w:t xml:space="preserve">  </w:t>
      </w:r>
      <w:r w:rsidRPr="00EB347E">
        <w:rPr>
          <w:rFonts w:eastAsiaTheme="minorEastAsia"/>
          <w:b/>
          <w:lang w:val="en-US" w:eastAsia="en-US"/>
        </w:rPr>
        <w:t xml:space="preserve">, and </w:t>
      </w:r>
      <m:oMath>
        <m:sSub>
          <m:sSubPr>
            <m:ctrlPr>
              <w:rPr>
                <w:rFonts w:ascii="Cambria Math" w:eastAsiaTheme="minorEastAsia" w:hAnsi="Cambria Math"/>
                <w:b/>
                <w:i/>
                <w:lang w:val="en-US" w:eastAsia="en-US"/>
              </w:rPr>
            </m:ctrlPr>
          </m:sSubPr>
          <m:e>
            <m:r>
              <m:rPr>
                <m:sty m:val="bi"/>
              </m:rPr>
              <w:rPr>
                <w:rFonts w:ascii="Cambria Math" w:eastAsiaTheme="minorEastAsia" w:hAnsi="Cambria Math"/>
                <w:lang w:val="en-US" w:eastAsia="en-US"/>
              </w:rPr>
              <m:t>θ</m:t>
            </m:r>
          </m:e>
          <m:sub>
            <m:r>
              <m:rPr>
                <m:sty m:val="bi"/>
              </m:rPr>
              <w:rPr>
                <w:rFonts w:ascii="Cambria Math" w:eastAsiaTheme="minorEastAsia" w:hAnsi="Cambria Math"/>
                <w:lang w:val="en-US" w:eastAsia="en-US"/>
              </w:rPr>
              <m:t>l,k</m:t>
            </m:r>
          </m:sub>
        </m:sSub>
      </m:oMath>
      <w:r w:rsidRPr="00EB347E">
        <w:rPr>
          <w:rFonts w:eastAsiaTheme="minorEastAsia"/>
          <w:b/>
          <w:lang w:val="en-US" w:eastAsia="en-US"/>
        </w:rPr>
        <w:t xml:space="preserve"> is given by: </w:t>
      </w:r>
    </w:p>
    <w:p w14:paraId="6919631D" w14:textId="77777777" w:rsidR="00642298" w:rsidRPr="00EB347E" w:rsidRDefault="00642298" w:rsidP="00642298">
      <w:pPr>
        <w:overflowPunct/>
        <w:autoSpaceDE/>
        <w:autoSpaceDN/>
        <w:adjustRightInd/>
        <w:spacing w:after="160" w:line="259" w:lineRule="auto"/>
        <w:ind w:left="720"/>
        <w:contextualSpacing/>
        <w:textAlignment w:val="auto"/>
        <w:rPr>
          <w:rFonts w:eastAsiaTheme="minorHAnsi"/>
          <w:b/>
          <w:lang w:val="en-US" w:eastAsia="en-US"/>
        </w:rPr>
      </w:pPr>
    </w:p>
    <w:p w14:paraId="0DFC36DD" w14:textId="77777777" w:rsidR="00642298" w:rsidRPr="00EB347E" w:rsidRDefault="002F3930" w:rsidP="00642298">
      <w:pPr>
        <w:overflowPunct/>
        <w:autoSpaceDE/>
        <w:autoSpaceDN/>
        <w:adjustRightInd/>
        <w:spacing w:after="160" w:line="259" w:lineRule="auto"/>
        <w:jc w:val="center"/>
        <w:textAlignment w:val="auto"/>
        <w:rPr>
          <w:rFonts w:eastAsiaTheme="minorEastAsia"/>
          <w:b/>
          <w:lang w:val="en-US" w:eastAsia="en-US"/>
        </w:rPr>
      </w:pPr>
      <m:oMathPara>
        <m:oMath>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θ</m:t>
              </m:r>
            </m:e>
            <m:sub>
              <m:r>
                <m:rPr>
                  <m:sty m:val="bi"/>
                </m:rPr>
                <w:rPr>
                  <w:rFonts w:ascii="Cambria Math" w:eastAsiaTheme="minorHAnsi" w:hAnsi="Cambria Math"/>
                  <w:lang w:val="en-US" w:eastAsia="en-US"/>
                </w:rPr>
                <m:t>l,k</m:t>
              </m:r>
            </m:sub>
          </m:sSub>
          <m:r>
            <m:rPr>
              <m:sty m:val="bi"/>
            </m:rPr>
            <w:rPr>
              <w:rFonts w:ascii="Cambria Math" w:eastAsiaTheme="minorHAnsi" w:hAnsi="Cambria Math"/>
              <w:lang w:val="en-US" w:eastAsia="en-US"/>
            </w:rPr>
            <m:t xml:space="preserve">= </m:t>
          </m:r>
          <m:d>
            <m:dPr>
              <m:begChr m:val="{"/>
              <m:endChr m:val=""/>
              <m:ctrlPr>
                <w:rPr>
                  <w:rFonts w:ascii="Cambria Math" w:eastAsiaTheme="minorHAnsi" w:hAnsi="Cambria Math"/>
                  <w:b/>
                  <w:i/>
                  <w:lang w:val="en-US" w:eastAsia="en-US"/>
                </w:rPr>
              </m:ctrlPr>
            </m:dPr>
            <m:e>
              <m:eqArr>
                <m:eqArrPr>
                  <m:ctrlPr>
                    <w:rPr>
                      <w:rFonts w:ascii="Cambria Math" w:eastAsiaTheme="minorHAnsi" w:hAnsi="Cambria Math"/>
                      <w:b/>
                      <w:i/>
                      <w:lang w:val="en-US" w:eastAsia="en-US"/>
                    </w:rPr>
                  </m:ctrlPr>
                </m:eqArrPr>
                <m:e>
                  <m:r>
                    <m:rPr>
                      <m:sty m:val="bi"/>
                    </m:rPr>
                    <w:rPr>
                      <w:rFonts w:ascii="Cambria Math" w:eastAsiaTheme="minorHAnsi" w:hAnsi="Cambria Math"/>
                      <w:lang w:val="en-US" w:eastAsia="en-US"/>
                    </w:rPr>
                    <m:t xml:space="preserve">1,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 xml:space="preserve">           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m:t>
                      </m:r>
                    </m:e>
                  </m:d>
                  <m:r>
                    <m:rPr>
                      <m:sty m:val="bi"/>
                    </m:rPr>
                    <w:rPr>
                      <w:rFonts w:ascii="Cambria Math" w:eastAsiaTheme="minorHAnsi" w:hAnsi="Cambria Math"/>
                      <w:lang w:val="en-US" w:eastAsia="en-US"/>
                    </w:rPr>
                    <m:t xml:space="preserve">=0,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k+1</m:t>
                      </m:r>
                    </m:e>
                  </m:d>
                  <m:r>
                    <m:rPr>
                      <m:sty m:val="bi"/>
                    </m:rPr>
                    <w:rPr>
                      <w:rFonts w:ascii="Cambria Math" w:eastAsiaTheme="minorHAnsi" w:hAnsi="Cambria Math"/>
                      <w:lang w:val="en-US" w:eastAsia="en-US"/>
                    </w:rPr>
                    <m:t>=0</m:t>
                  </m:r>
                </m:e>
                <m:e>
                  <m:r>
                    <m:rPr>
                      <m:sty m:val="bi"/>
                    </m:rPr>
                    <w:rPr>
                      <w:rFonts w:ascii="Cambria Math" w:eastAsiaTheme="minorHAnsi" w:hAnsi="Cambria Math"/>
                      <w:lang w:val="en-US" w:eastAsia="en-US"/>
                    </w:rPr>
                    <m:t xml:space="preserve">-1,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 xml:space="preserve">           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m:t>
                      </m:r>
                    </m:e>
                  </m:d>
                  <m:r>
                    <m:rPr>
                      <m:sty m:val="bi"/>
                    </m:rPr>
                    <w:rPr>
                      <w:rFonts w:ascii="Cambria Math" w:eastAsiaTheme="minorHAnsi" w:hAnsi="Cambria Math"/>
                      <w:lang w:val="en-US" w:eastAsia="en-US"/>
                    </w:rPr>
                    <m:t xml:space="preserve">=0,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k+1</m:t>
                      </m:r>
                    </m:e>
                  </m:d>
                  <m:r>
                    <m:rPr>
                      <m:sty m:val="bi"/>
                    </m:rPr>
                    <w:rPr>
                      <w:rFonts w:ascii="Cambria Math" w:eastAsiaTheme="minorHAnsi" w:hAnsi="Cambria Math"/>
                      <w:lang w:val="en-US" w:eastAsia="en-US"/>
                    </w:rPr>
                    <m:t>=1</m:t>
                  </m:r>
                </m:e>
                <m:e>
                  <m:r>
                    <m:rPr>
                      <m:sty m:val="bi"/>
                    </m:rPr>
                    <w:rPr>
                      <w:rFonts w:ascii="Cambria Math" w:eastAsiaTheme="minorHAnsi" w:hAnsi="Cambria Math"/>
                      <w:lang w:val="en-US" w:eastAsia="en-US"/>
                    </w:rPr>
                    <m:t>j,</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 xml:space="preserve">           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m:t>
                      </m:r>
                    </m:e>
                  </m:d>
                  <m:r>
                    <m:rPr>
                      <m:sty m:val="bi"/>
                    </m:rPr>
                    <w:rPr>
                      <w:rFonts w:ascii="Cambria Math" w:eastAsiaTheme="minorHAnsi" w:hAnsi="Cambria Math"/>
                      <w:lang w:val="en-US" w:eastAsia="en-US"/>
                    </w:rPr>
                    <m:t xml:space="preserve">=1,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k+1</m:t>
                      </m:r>
                    </m:e>
                  </m:d>
                  <m:r>
                    <m:rPr>
                      <m:sty m:val="bi"/>
                    </m:rPr>
                    <w:rPr>
                      <w:rFonts w:ascii="Cambria Math" w:eastAsiaTheme="minorHAnsi" w:hAnsi="Cambria Math"/>
                      <w:lang w:val="en-US" w:eastAsia="en-US"/>
                    </w:rPr>
                    <m:t>=0</m:t>
                  </m:r>
                  <m:ctrlPr>
                    <w:rPr>
                      <w:rFonts w:ascii="Cambria Math" w:eastAsia="Cambria Math" w:hAnsi="Cambria Math"/>
                      <w:b/>
                      <w:i/>
                      <w:lang w:val="en-US" w:eastAsia="en-US"/>
                    </w:rPr>
                  </m:ctrlPr>
                </m:e>
                <m:e>
                  <m:r>
                    <m:rPr>
                      <m:sty m:val="bi"/>
                    </m:rPr>
                    <w:rPr>
                      <w:rFonts w:ascii="Cambria Math" w:eastAsia="Cambria Math" w:hAnsi="Cambria Math"/>
                      <w:lang w:val="en-US" w:eastAsia="en-US"/>
                    </w:rPr>
                    <m:t>-j,</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 xml:space="preserve">           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m:t>
                      </m:r>
                    </m:e>
                  </m:d>
                  <m:r>
                    <m:rPr>
                      <m:sty m:val="bi"/>
                    </m:rPr>
                    <w:rPr>
                      <w:rFonts w:ascii="Cambria Math" w:eastAsiaTheme="minorHAnsi" w:hAnsi="Cambria Math"/>
                      <w:lang w:val="en-US" w:eastAsia="en-US"/>
                    </w:rPr>
                    <m:t xml:space="preserve">=1, </m:t>
                  </m:r>
                  <m:sSub>
                    <m:sSubPr>
                      <m:ctrlPr>
                        <w:rPr>
                          <w:rFonts w:ascii="Cambria Math" w:eastAsiaTheme="minorHAnsi" w:hAnsi="Cambria Math"/>
                          <w:b/>
                          <w:i/>
                          <w:lang w:val="en-US" w:eastAsia="en-US"/>
                        </w:rPr>
                      </m:ctrlPr>
                    </m:sSubPr>
                    <m:e>
                      <m:r>
                        <m:rPr>
                          <m:sty m:val="bi"/>
                        </m:rPr>
                        <w:rPr>
                          <w:rFonts w:ascii="Cambria Math" w:eastAsiaTheme="minorHAnsi" w:hAnsi="Cambria Math"/>
                          <w:lang w:val="en-US" w:eastAsia="en-US"/>
                        </w:rPr>
                        <m:t>c</m:t>
                      </m:r>
                    </m:e>
                    <m:sub>
                      <m:r>
                        <m:rPr>
                          <m:sty m:val="bi"/>
                        </m:rPr>
                        <w:rPr>
                          <w:rFonts w:ascii="Cambria Math" w:eastAsiaTheme="minorHAnsi" w:hAnsi="Cambria Math"/>
                          <w:lang w:val="en-US" w:eastAsia="en-US"/>
                        </w:rPr>
                        <m:t>l</m:t>
                      </m:r>
                    </m:sub>
                  </m:sSub>
                  <m:d>
                    <m:dPr>
                      <m:ctrlPr>
                        <w:rPr>
                          <w:rFonts w:ascii="Cambria Math" w:eastAsiaTheme="minorHAnsi" w:hAnsi="Cambria Math"/>
                          <w:b/>
                          <w:i/>
                          <w:lang w:val="en-US" w:eastAsia="en-US"/>
                        </w:rPr>
                      </m:ctrlPr>
                    </m:dPr>
                    <m:e>
                      <m:r>
                        <m:rPr>
                          <m:sty m:val="bi"/>
                        </m:rPr>
                        <w:rPr>
                          <w:rFonts w:ascii="Cambria Math" w:eastAsiaTheme="minorHAnsi" w:hAnsi="Cambria Math"/>
                          <w:lang w:val="en-US" w:eastAsia="en-US"/>
                        </w:rPr>
                        <m:t>2</m:t>
                      </m:r>
                      <m:r>
                        <m:rPr>
                          <m:sty m:val="bi"/>
                        </m:rPr>
                        <w:rPr>
                          <w:rFonts w:ascii="Cambria Math" w:eastAsiaTheme="minorHAnsi" w:hAnsi="Cambria Math"/>
                          <w:lang w:val="en-US" w:eastAsia="en-US"/>
                        </w:rPr>
                        <m:t>k+1</m:t>
                      </m:r>
                    </m:e>
                  </m:d>
                  <m:r>
                    <m:rPr>
                      <m:sty m:val="bi"/>
                    </m:rPr>
                    <w:rPr>
                      <w:rFonts w:ascii="Cambria Math" w:eastAsiaTheme="minorHAnsi" w:hAnsi="Cambria Math"/>
                      <w:lang w:val="en-US" w:eastAsia="en-US"/>
                    </w:rPr>
                    <m:t>=1</m:t>
                  </m:r>
                </m:e>
              </m:eqArr>
            </m:e>
          </m:d>
        </m:oMath>
      </m:oMathPara>
    </w:p>
    <w:p w14:paraId="3EA1D5A7" w14:textId="77777777" w:rsidR="000F1656" w:rsidRPr="005A6B48" w:rsidRDefault="000F1656" w:rsidP="000F1656">
      <w:pPr>
        <w:rPr>
          <w:b/>
          <w:bCs/>
          <w:lang w:val="en-US"/>
        </w:rPr>
      </w:pPr>
      <w:r w:rsidRPr="000F1656">
        <w:rPr>
          <w:b/>
          <w:bCs/>
          <w:i/>
          <w:u w:val="single"/>
          <w:lang w:val="en-US"/>
        </w:rPr>
        <w:t xml:space="preserve">Observation </w:t>
      </w:r>
      <w:r>
        <w:rPr>
          <w:b/>
          <w:bCs/>
          <w:i/>
          <w:u w:val="single"/>
          <w:lang w:val="en-US"/>
        </w:rPr>
        <w:t>1</w:t>
      </w:r>
      <w:r>
        <w:rPr>
          <w:b/>
          <w:bCs/>
          <w:lang w:val="en-US"/>
        </w:rPr>
        <w:t>:</w:t>
      </w:r>
      <w:r w:rsidRPr="005A6B48">
        <w:rPr>
          <w:b/>
          <w:bCs/>
          <w:lang w:val="en-US"/>
        </w:rPr>
        <w:t xml:space="preserve"> The behavior of the legacy UE upon receiving two </w:t>
      </w:r>
      <w:r>
        <w:rPr>
          <w:b/>
          <w:bCs/>
          <w:lang w:val="en-US"/>
        </w:rPr>
        <w:t xml:space="preserve">identical </w:t>
      </w:r>
      <w:r w:rsidRPr="005A6B48">
        <w:rPr>
          <w:b/>
          <w:bCs/>
          <w:lang w:val="en-US"/>
        </w:rPr>
        <w:t>PDCCH</w:t>
      </w:r>
      <w:r>
        <w:rPr>
          <w:b/>
          <w:bCs/>
          <w:lang w:val="en-US"/>
        </w:rPr>
        <w:t xml:space="preserve">s </w:t>
      </w:r>
      <w:r w:rsidRPr="005A6B48">
        <w:rPr>
          <w:b/>
          <w:bCs/>
          <w:lang w:val="en-US"/>
        </w:rPr>
        <w:t xml:space="preserve">with AL8 is unpredictable. </w:t>
      </w:r>
    </w:p>
    <w:p w14:paraId="27F59B1A" w14:textId="77777777" w:rsidR="000F1656" w:rsidRDefault="000F1656" w:rsidP="000F1656">
      <w:pPr>
        <w:rPr>
          <w:b/>
          <w:bCs/>
          <w:lang w:val="en-US"/>
        </w:rPr>
      </w:pPr>
      <w:r w:rsidRPr="000F1656">
        <w:rPr>
          <w:b/>
          <w:bCs/>
          <w:i/>
          <w:u w:val="single"/>
          <w:lang w:val="en-US"/>
        </w:rPr>
        <w:t>Proposal 2</w:t>
      </w:r>
      <w:r>
        <w:rPr>
          <w:b/>
          <w:bCs/>
          <w:lang w:val="en-US"/>
        </w:rPr>
        <w:t xml:space="preserve">: A PDCCH candidate with aggregation level 16 retaining backwards compatibility with a legacy PDCCH candidate of aggregation level 8 is specified. </w:t>
      </w:r>
    </w:p>
    <w:p w14:paraId="40A2682C" w14:textId="77777777" w:rsidR="000F1656" w:rsidRDefault="000F1656" w:rsidP="000F1656">
      <w:pPr>
        <w:rPr>
          <w:b/>
          <w:bCs/>
        </w:rPr>
      </w:pPr>
      <w:r w:rsidRPr="000F1656">
        <w:rPr>
          <w:b/>
          <w:bCs/>
          <w:i/>
          <w:u w:val="single"/>
        </w:rPr>
        <w:t>Observation 2</w:t>
      </w:r>
      <w:r w:rsidRPr="00725C05">
        <w:rPr>
          <w:b/>
          <w:bCs/>
        </w:rPr>
        <w:t xml:space="preserve">: PDSCH </w:t>
      </w:r>
      <w:r>
        <w:rPr>
          <w:b/>
          <w:bCs/>
        </w:rPr>
        <w:t>decoding is</w:t>
      </w:r>
      <w:r w:rsidRPr="00725C05">
        <w:rPr>
          <w:b/>
          <w:bCs/>
        </w:rPr>
        <w:t xml:space="preserve"> not a bottleneck for CAS reception.</w:t>
      </w:r>
    </w:p>
    <w:p w14:paraId="2F798B4E" w14:textId="77777777" w:rsidR="00EF719C" w:rsidRPr="00377104" w:rsidRDefault="00EF719C" w:rsidP="00A93E8C">
      <w:pPr>
        <w:pStyle w:val="Heading1"/>
        <w:jc w:val="both"/>
      </w:pPr>
      <w:r w:rsidRPr="00377104">
        <w:t>References</w:t>
      </w:r>
    </w:p>
    <w:p w14:paraId="64E2001B" w14:textId="4CD03308" w:rsidR="00584993" w:rsidRDefault="008043B4" w:rsidP="00310E91">
      <w:pPr>
        <w:pStyle w:val="EX"/>
        <w:tabs>
          <w:tab w:val="left" w:pos="720"/>
        </w:tabs>
        <w:jc w:val="both"/>
        <w:rPr>
          <w:lang w:val="en-US"/>
        </w:rPr>
      </w:pPr>
      <w:r>
        <w:rPr>
          <w:lang w:val="en-US"/>
        </w:rPr>
        <w:t>[1]</w:t>
      </w:r>
      <w:r>
        <w:rPr>
          <w:lang w:val="en-US"/>
        </w:rPr>
        <w:tab/>
      </w:r>
      <w:r w:rsidR="000C5A30">
        <w:rPr>
          <w:lang w:val="en-US"/>
        </w:rPr>
        <w:t>R1-1</w:t>
      </w:r>
      <w:r w:rsidR="008641C1">
        <w:rPr>
          <w:lang w:val="en-US"/>
        </w:rPr>
        <w:t>909750</w:t>
      </w:r>
      <w:r w:rsidR="000C5A30">
        <w:rPr>
          <w:lang w:val="en-US"/>
        </w:rPr>
        <w:t xml:space="preserve"> </w:t>
      </w:r>
      <w:r w:rsidR="000C5A30" w:rsidRPr="003920BF">
        <w:rPr>
          <w:lang w:val="en-US"/>
        </w:rPr>
        <w:t>Chairman's notes of AI 6.2.4 LTE-based 5G Terrestrial Broadcast</w:t>
      </w:r>
      <w:r w:rsidR="000C5A30">
        <w:rPr>
          <w:lang w:val="en-US"/>
        </w:rPr>
        <w:t>, RAN1 #9</w:t>
      </w:r>
      <w:r w:rsidR="008641C1">
        <w:rPr>
          <w:lang w:val="en-US"/>
        </w:rPr>
        <w:t>8</w:t>
      </w:r>
      <w:r w:rsidR="000C5A30">
        <w:rPr>
          <w:lang w:val="en-US"/>
        </w:rPr>
        <w:t xml:space="preserve"> </w:t>
      </w:r>
    </w:p>
    <w:p w14:paraId="4D2B04AB" w14:textId="6A42867B" w:rsidR="004F4607" w:rsidRDefault="004F4607" w:rsidP="00310E91">
      <w:pPr>
        <w:pStyle w:val="EX"/>
        <w:tabs>
          <w:tab w:val="left" w:pos="720"/>
        </w:tabs>
        <w:jc w:val="both"/>
        <w:rPr>
          <w:lang w:val="en-US"/>
        </w:rPr>
      </w:pPr>
      <w:r>
        <w:rPr>
          <w:lang w:val="en-US"/>
        </w:rPr>
        <w:t>[2]</w:t>
      </w:r>
      <w:r>
        <w:rPr>
          <w:lang w:val="en-US"/>
        </w:rPr>
        <w:tab/>
        <w:t xml:space="preserve">R1-1908842 Analysis of CAS reception, Qualcomm </w:t>
      </w:r>
      <w:r w:rsidR="0094102B">
        <w:rPr>
          <w:lang w:val="en-US"/>
        </w:rPr>
        <w:t>Incorporated</w:t>
      </w:r>
      <w:r>
        <w:rPr>
          <w:lang w:val="en-US"/>
        </w:rPr>
        <w:t>, RAN1#98</w:t>
      </w:r>
    </w:p>
    <w:p w14:paraId="065EED71" w14:textId="152E0EF4" w:rsidR="00287DCE" w:rsidRDefault="00287DCE" w:rsidP="00310E91">
      <w:pPr>
        <w:pStyle w:val="EX"/>
        <w:tabs>
          <w:tab w:val="left" w:pos="720"/>
        </w:tabs>
        <w:jc w:val="both"/>
        <w:rPr>
          <w:lang w:val="en-US"/>
        </w:rPr>
      </w:pPr>
      <w:r>
        <w:rPr>
          <w:lang w:val="en-US"/>
        </w:rPr>
        <w:t>[3]</w:t>
      </w:r>
      <w:r>
        <w:rPr>
          <w:lang w:val="en-US"/>
        </w:rPr>
        <w:tab/>
        <w:t>R1-1908712 Potential enhancement for CAS, Huawei, RAN1 #98</w:t>
      </w:r>
    </w:p>
    <w:p w14:paraId="2E0AF673" w14:textId="26F20B75" w:rsidR="00D40069" w:rsidRDefault="00D40069" w:rsidP="00310E91">
      <w:pPr>
        <w:pStyle w:val="EX"/>
        <w:tabs>
          <w:tab w:val="left" w:pos="720"/>
        </w:tabs>
        <w:jc w:val="both"/>
        <w:rPr>
          <w:lang w:val="en-US"/>
        </w:rPr>
      </w:pPr>
      <w:r>
        <w:rPr>
          <w:lang w:val="en-US"/>
        </w:rPr>
        <w:t>[4]</w:t>
      </w:r>
      <w:r>
        <w:rPr>
          <w:lang w:val="en-US"/>
        </w:rPr>
        <w:tab/>
      </w:r>
      <w:r w:rsidR="002F3930" w:rsidRPr="002F3930">
        <w:t>R1-1912690</w:t>
      </w:r>
      <w:r>
        <w:t xml:space="preserve"> </w:t>
      </w:r>
      <w:r w:rsidRPr="00D40069">
        <w:t>Motivation for change to scrambling of NB-IoT MIB and SIB</w:t>
      </w:r>
      <w:r>
        <w:t xml:space="preserve">, </w:t>
      </w:r>
      <w:r w:rsidRPr="00D40069">
        <w:tab/>
        <w:t>Huawei, Hisilicon</w:t>
      </w:r>
      <w:r>
        <w:t>, RAN1#88</w:t>
      </w:r>
    </w:p>
    <w:p w14:paraId="7811B29D" w14:textId="6CA58D82" w:rsidR="00D40069" w:rsidRDefault="00D40069" w:rsidP="00310E91">
      <w:pPr>
        <w:pStyle w:val="EX"/>
        <w:tabs>
          <w:tab w:val="left" w:pos="720"/>
        </w:tabs>
        <w:jc w:val="both"/>
        <w:rPr>
          <w:lang w:val="en-US"/>
        </w:rPr>
      </w:pPr>
      <w:r>
        <w:rPr>
          <w:lang w:val="en-US"/>
        </w:rPr>
        <w:t>[5]</w:t>
      </w:r>
      <w:r>
        <w:rPr>
          <w:lang w:val="en-US"/>
        </w:rPr>
        <w:tab/>
      </w:r>
      <w:r w:rsidR="002F3930" w:rsidRPr="002F3930">
        <w:t>R1-1912690</w:t>
      </w:r>
      <w:r>
        <w:t xml:space="preserve"> I</w:t>
      </w:r>
      <w:r w:rsidRPr="00D40069">
        <w:t xml:space="preserve">nterference randomization for Rel-14 NB-IoT </w:t>
      </w:r>
      <w:r w:rsidRPr="00D40069">
        <w:tab/>
        <w:t>Qualcomm Incorporated</w:t>
      </w:r>
      <w:r>
        <w:t>, RAN1#90</w:t>
      </w:r>
    </w:p>
    <w:p w14:paraId="054CBA80" w14:textId="51EFDB5A" w:rsidR="00D40069" w:rsidRDefault="00D40069" w:rsidP="002F3930">
      <w:pPr>
        <w:pStyle w:val="EX"/>
        <w:tabs>
          <w:tab w:val="left" w:pos="720"/>
        </w:tabs>
        <w:ind w:left="0" w:firstLine="0"/>
        <w:jc w:val="both"/>
        <w:rPr>
          <w:lang w:val="en-US"/>
        </w:rPr>
      </w:pPr>
    </w:p>
    <w:p w14:paraId="02C7A8F3" w14:textId="77777777" w:rsidR="00EB5181" w:rsidRPr="00EB5181" w:rsidRDefault="00EB5181" w:rsidP="00310E91">
      <w:pPr>
        <w:pStyle w:val="EX"/>
        <w:tabs>
          <w:tab w:val="left" w:pos="720"/>
        </w:tabs>
        <w:jc w:val="both"/>
      </w:pPr>
    </w:p>
    <w:sectPr w:rsidR="00EB5181" w:rsidRPr="00EB5181">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B40EC" w14:textId="77777777" w:rsidR="00BE6AAA" w:rsidRDefault="00BE6AAA">
      <w:pPr>
        <w:spacing w:after="0"/>
      </w:pPr>
      <w:r>
        <w:separator/>
      </w:r>
    </w:p>
  </w:endnote>
  <w:endnote w:type="continuationSeparator" w:id="0">
    <w:p w14:paraId="7853766B" w14:textId="77777777" w:rsidR="00BE6AAA" w:rsidRDefault="00BE6A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D45E5" w14:textId="77777777" w:rsidR="00BE6AAA" w:rsidRDefault="00BE6AAA">
      <w:pPr>
        <w:spacing w:after="0"/>
      </w:pPr>
      <w:r>
        <w:separator/>
      </w:r>
    </w:p>
  </w:footnote>
  <w:footnote w:type="continuationSeparator" w:id="0">
    <w:p w14:paraId="70065653" w14:textId="77777777" w:rsidR="00BE6AAA" w:rsidRDefault="00BE6A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9E7B1" w14:textId="77777777" w:rsidR="003B40BC" w:rsidRDefault="003B40B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6E3995"/>
    <w:multiLevelType w:val="hybridMultilevel"/>
    <w:tmpl w:val="FD30A7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D1437E"/>
    <w:multiLevelType w:val="hybridMultilevel"/>
    <w:tmpl w:val="FD30A7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B93300"/>
    <w:multiLevelType w:val="hybridMultilevel"/>
    <w:tmpl w:val="FD30A7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FB4C8E"/>
    <w:multiLevelType w:val="hybridMultilevel"/>
    <w:tmpl w:val="E42288AC"/>
    <w:lvl w:ilvl="0" w:tplc="E2325B60">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4BF36061"/>
    <w:multiLevelType w:val="hybridMultilevel"/>
    <w:tmpl w:val="E42288AC"/>
    <w:lvl w:ilvl="0" w:tplc="E2325B60">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15:restartNumberingAfterBreak="0">
    <w:nsid w:val="4FAB1542"/>
    <w:multiLevelType w:val="hybridMultilevel"/>
    <w:tmpl w:val="E42288AC"/>
    <w:lvl w:ilvl="0" w:tplc="E2325B60">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501B677F"/>
    <w:multiLevelType w:val="hybridMultilevel"/>
    <w:tmpl w:val="FD30A7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5D401D"/>
    <w:multiLevelType w:val="hybridMultilevel"/>
    <w:tmpl w:val="941A1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1D454A"/>
    <w:multiLevelType w:val="hybridMultilevel"/>
    <w:tmpl w:val="E70C7306"/>
    <w:lvl w:ilvl="0" w:tplc="491E968A">
      <w:start w:val="1"/>
      <w:numFmt w:val="bullet"/>
      <w:lvlText w:val="◦"/>
      <w:lvlJc w:val="left"/>
      <w:pPr>
        <w:tabs>
          <w:tab w:val="num" w:pos="720"/>
        </w:tabs>
        <w:ind w:left="720" w:hanging="360"/>
      </w:pPr>
      <w:rPr>
        <w:rFonts w:ascii="Microsoft Sans Serif" w:hAnsi="Microsoft Sans Serif" w:hint="default"/>
      </w:rPr>
    </w:lvl>
    <w:lvl w:ilvl="1" w:tplc="BCEC1BEC">
      <w:start w:val="1"/>
      <w:numFmt w:val="bullet"/>
      <w:lvlText w:val="◦"/>
      <w:lvlJc w:val="left"/>
      <w:pPr>
        <w:tabs>
          <w:tab w:val="num" w:pos="1440"/>
        </w:tabs>
        <w:ind w:left="1440" w:hanging="360"/>
      </w:pPr>
      <w:rPr>
        <w:rFonts w:ascii="Microsoft Sans Serif" w:hAnsi="Microsoft Sans Serif" w:hint="default"/>
      </w:rPr>
    </w:lvl>
    <w:lvl w:ilvl="2" w:tplc="9546325E">
      <w:start w:val="247"/>
      <w:numFmt w:val="bullet"/>
      <w:lvlText w:val="•"/>
      <w:lvlJc w:val="left"/>
      <w:pPr>
        <w:tabs>
          <w:tab w:val="num" w:pos="2160"/>
        </w:tabs>
        <w:ind w:left="2160" w:hanging="360"/>
      </w:pPr>
      <w:rPr>
        <w:rFonts w:ascii="Microsoft Sans Serif" w:hAnsi="Microsoft Sans Serif" w:hint="default"/>
      </w:rPr>
    </w:lvl>
    <w:lvl w:ilvl="3" w:tplc="C122C1A4" w:tentative="1">
      <w:start w:val="1"/>
      <w:numFmt w:val="bullet"/>
      <w:lvlText w:val="◦"/>
      <w:lvlJc w:val="left"/>
      <w:pPr>
        <w:tabs>
          <w:tab w:val="num" w:pos="2880"/>
        </w:tabs>
        <w:ind w:left="2880" w:hanging="360"/>
      </w:pPr>
      <w:rPr>
        <w:rFonts w:ascii="Microsoft Sans Serif" w:hAnsi="Microsoft Sans Serif" w:hint="default"/>
      </w:rPr>
    </w:lvl>
    <w:lvl w:ilvl="4" w:tplc="4740EF6C" w:tentative="1">
      <w:start w:val="1"/>
      <w:numFmt w:val="bullet"/>
      <w:lvlText w:val="◦"/>
      <w:lvlJc w:val="left"/>
      <w:pPr>
        <w:tabs>
          <w:tab w:val="num" w:pos="3600"/>
        </w:tabs>
        <w:ind w:left="3600" w:hanging="360"/>
      </w:pPr>
      <w:rPr>
        <w:rFonts w:ascii="Microsoft Sans Serif" w:hAnsi="Microsoft Sans Serif" w:hint="default"/>
      </w:rPr>
    </w:lvl>
    <w:lvl w:ilvl="5" w:tplc="B51206C8" w:tentative="1">
      <w:start w:val="1"/>
      <w:numFmt w:val="bullet"/>
      <w:lvlText w:val="◦"/>
      <w:lvlJc w:val="left"/>
      <w:pPr>
        <w:tabs>
          <w:tab w:val="num" w:pos="4320"/>
        </w:tabs>
        <w:ind w:left="4320" w:hanging="360"/>
      </w:pPr>
      <w:rPr>
        <w:rFonts w:ascii="Microsoft Sans Serif" w:hAnsi="Microsoft Sans Serif" w:hint="default"/>
      </w:rPr>
    </w:lvl>
    <w:lvl w:ilvl="6" w:tplc="5ECE6158" w:tentative="1">
      <w:start w:val="1"/>
      <w:numFmt w:val="bullet"/>
      <w:lvlText w:val="◦"/>
      <w:lvlJc w:val="left"/>
      <w:pPr>
        <w:tabs>
          <w:tab w:val="num" w:pos="5040"/>
        </w:tabs>
        <w:ind w:left="5040" w:hanging="360"/>
      </w:pPr>
      <w:rPr>
        <w:rFonts w:ascii="Microsoft Sans Serif" w:hAnsi="Microsoft Sans Serif" w:hint="default"/>
      </w:rPr>
    </w:lvl>
    <w:lvl w:ilvl="7" w:tplc="C2C2082A" w:tentative="1">
      <w:start w:val="1"/>
      <w:numFmt w:val="bullet"/>
      <w:lvlText w:val="◦"/>
      <w:lvlJc w:val="left"/>
      <w:pPr>
        <w:tabs>
          <w:tab w:val="num" w:pos="5760"/>
        </w:tabs>
        <w:ind w:left="5760" w:hanging="360"/>
      </w:pPr>
      <w:rPr>
        <w:rFonts w:ascii="Microsoft Sans Serif" w:hAnsi="Microsoft Sans Serif" w:hint="default"/>
      </w:rPr>
    </w:lvl>
    <w:lvl w:ilvl="8" w:tplc="6C14B372"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2"/>
  </w:num>
  <w:num w:numId="2">
    <w:abstractNumId w:val="8"/>
  </w:num>
  <w:num w:numId="3">
    <w:abstractNumId w:val="7"/>
  </w:num>
  <w:num w:numId="4">
    <w:abstractNumId w:val="5"/>
  </w:num>
  <w:num w:numId="5">
    <w:abstractNumId w:val="6"/>
  </w:num>
  <w:num w:numId="6">
    <w:abstractNumId w:val="4"/>
  </w:num>
  <w:num w:numId="7">
    <w:abstractNumId w:val="3"/>
  </w:num>
  <w:num w:numId="8">
    <w:abstractNumId w:val="0"/>
  </w:num>
  <w:num w:numId="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01D"/>
    <w:rsid w:val="000015C9"/>
    <w:rsid w:val="000016F4"/>
    <w:rsid w:val="00006A74"/>
    <w:rsid w:val="000102C0"/>
    <w:rsid w:val="00011D6E"/>
    <w:rsid w:val="000122D8"/>
    <w:rsid w:val="000124BF"/>
    <w:rsid w:val="00013D40"/>
    <w:rsid w:val="00014F5C"/>
    <w:rsid w:val="00015DBF"/>
    <w:rsid w:val="00016479"/>
    <w:rsid w:val="00016773"/>
    <w:rsid w:val="000170C0"/>
    <w:rsid w:val="00021082"/>
    <w:rsid w:val="00023F55"/>
    <w:rsid w:val="00024572"/>
    <w:rsid w:val="000250C7"/>
    <w:rsid w:val="00026ABF"/>
    <w:rsid w:val="0002724F"/>
    <w:rsid w:val="00027735"/>
    <w:rsid w:val="00027FA8"/>
    <w:rsid w:val="00031770"/>
    <w:rsid w:val="00031A78"/>
    <w:rsid w:val="00032745"/>
    <w:rsid w:val="000343E1"/>
    <w:rsid w:val="00034B78"/>
    <w:rsid w:val="000353EF"/>
    <w:rsid w:val="0003616B"/>
    <w:rsid w:val="00037F52"/>
    <w:rsid w:val="0004247B"/>
    <w:rsid w:val="00042825"/>
    <w:rsid w:val="0004410E"/>
    <w:rsid w:val="00050596"/>
    <w:rsid w:val="00052BB5"/>
    <w:rsid w:val="00052E7E"/>
    <w:rsid w:val="00054F92"/>
    <w:rsid w:val="00055CFD"/>
    <w:rsid w:val="00056281"/>
    <w:rsid w:val="00060C1A"/>
    <w:rsid w:val="00060EDD"/>
    <w:rsid w:val="00061B9D"/>
    <w:rsid w:val="00071911"/>
    <w:rsid w:val="00071B45"/>
    <w:rsid w:val="00074D5A"/>
    <w:rsid w:val="0007582A"/>
    <w:rsid w:val="000761AE"/>
    <w:rsid w:val="00076317"/>
    <w:rsid w:val="000774E6"/>
    <w:rsid w:val="00080E15"/>
    <w:rsid w:val="00083118"/>
    <w:rsid w:val="00083F83"/>
    <w:rsid w:val="00084B8E"/>
    <w:rsid w:val="0009002E"/>
    <w:rsid w:val="00090E40"/>
    <w:rsid w:val="00095581"/>
    <w:rsid w:val="000968CD"/>
    <w:rsid w:val="000A09EF"/>
    <w:rsid w:val="000A0F55"/>
    <w:rsid w:val="000A17C8"/>
    <w:rsid w:val="000A1EC6"/>
    <w:rsid w:val="000A32DB"/>
    <w:rsid w:val="000A357C"/>
    <w:rsid w:val="000A4930"/>
    <w:rsid w:val="000B00C5"/>
    <w:rsid w:val="000B0ADC"/>
    <w:rsid w:val="000B381B"/>
    <w:rsid w:val="000C191B"/>
    <w:rsid w:val="000C24FB"/>
    <w:rsid w:val="000C36F5"/>
    <w:rsid w:val="000C3834"/>
    <w:rsid w:val="000C4A93"/>
    <w:rsid w:val="000C5A30"/>
    <w:rsid w:val="000D10BF"/>
    <w:rsid w:val="000D1794"/>
    <w:rsid w:val="000D1D2D"/>
    <w:rsid w:val="000D26EA"/>
    <w:rsid w:val="000D2C43"/>
    <w:rsid w:val="000D3390"/>
    <w:rsid w:val="000D6574"/>
    <w:rsid w:val="000D781D"/>
    <w:rsid w:val="000E0E42"/>
    <w:rsid w:val="000E1066"/>
    <w:rsid w:val="000E24EF"/>
    <w:rsid w:val="000E332E"/>
    <w:rsid w:val="000E3D6A"/>
    <w:rsid w:val="000E7E8F"/>
    <w:rsid w:val="000E7F99"/>
    <w:rsid w:val="000F022B"/>
    <w:rsid w:val="000F098A"/>
    <w:rsid w:val="000F1656"/>
    <w:rsid w:val="000F195A"/>
    <w:rsid w:val="000F7454"/>
    <w:rsid w:val="001004BE"/>
    <w:rsid w:val="0010140E"/>
    <w:rsid w:val="0010387A"/>
    <w:rsid w:val="00103A5B"/>
    <w:rsid w:val="00111DF5"/>
    <w:rsid w:val="0011275E"/>
    <w:rsid w:val="00114506"/>
    <w:rsid w:val="001151CE"/>
    <w:rsid w:val="00122B76"/>
    <w:rsid w:val="0012428E"/>
    <w:rsid w:val="00126032"/>
    <w:rsid w:val="00126B21"/>
    <w:rsid w:val="00127A31"/>
    <w:rsid w:val="00131CF0"/>
    <w:rsid w:val="00131D28"/>
    <w:rsid w:val="0013246B"/>
    <w:rsid w:val="00132E0E"/>
    <w:rsid w:val="00134B29"/>
    <w:rsid w:val="00134F71"/>
    <w:rsid w:val="00134FA0"/>
    <w:rsid w:val="00137D58"/>
    <w:rsid w:val="001402EE"/>
    <w:rsid w:val="00140B90"/>
    <w:rsid w:val="00140C3F"/>
    <w:rsid w:val="00141987"/>
    <w:rsid w:val="001419AB"/>
    <w:rsid w:val="00142C8E"/>
    <w:rsid w:val="00147EDC"/>
    <w:rsid w:val="00150475"/>
    <w:rsid w:val="00150F42"/>
    <w:rsid w:val="001522AA"/>
    <w:rsid w:val="001525C8"/>
    <w:rsid w:val="00153E04"/>
    <w:rsid w:val="0015439B"/>
    <w:rsid w:val="00154928"/>
    <w:rsid w:val="0015604C"/>
    <w:rsid w:val="00156B74"/>
    <w:rsid w:val="00160974"/>
    <w:rsid w:val="00160AD2"/>
    <w:rsid w:val="00162D82"/>
    <w:rsid w:val="001638F3"/>
    <w:rsid w:val="001650AB"/>
    <w:rsid w:val="001658E8"/>
    <w:rsid w:val="00165F8E"/>
    <w:rsid w:val="0016606A"/>
    <w:rsid w:val="001673C9"/>
    <w:rsid w:val="001707A8"/>
    <w:rsid w:val="00171C6E"/>
    <w:rsid w:val="00171EB5"/>
    <w:rsid w:val="00172149"/>
    <w:rsid w:val="00172604"/>
    <w:rsid w:val="00172A32"/>
    <w:rsid w:val="00175E04"/>
    <w:rsid w:val="001817B7"/>
    <w:rsid w:val="00181A16"/>
    <w:rsid w:val="00182631"/>
    <w:rsid w:val="001828C2"/>
    <w:rsid w:val="00182F35"/>
    <w:rsid w:val="00183798"/>
    <w:rsid w:val="00184AA6"/>
    <w:rsid w:val="00185BE7"/>
    <w:rsid w:val="001904DD"/>
    <w:rsid w:val="00191250"/>
    <w:rsid w:val="001954A2"/>
    <w:rsid w:val="001A1E3A"/>
    <w:rsid w:val="001A27F5"/>
    <w:rsid w:val="001A301E"/>
    <w:rsid w:val="001A30A6"/>
    <w:rsid w:val="001A3B31"/>
    <w:rsid w:val="001A7802"/>
    <w:rsid w:val="001B2190"/>
    <w:rsid w:val="001B2263"/>
    <w:rsid w:val="001B3278"/>
    <w:rsid w:val="001B3EDF"/>
    <w:rsid w:val="001B7BB3"/>
    <w:rsid w:val="001B7FB6"/>
    <w:rsid w:val="001C0CD3"/>
    <w:rsid w:val="001C2AAA"/>
    <w:rsid w:val="001C38C9"/>
    <w:rsid w:val="001C4B16"/>
    <w:rsid w:val="001C4E69"/>
    <w:rsid w:val="001C6EF8"/>
    <w:rsid w:val="001C7299"/>
    <w:rsid w:val="001D0BE3"/>
    <w:rsid w:val="001D2202"/>
    <w:rsid w:val="001D2332"/>
    <w:rsid w:val="001D3037"/>
    <w:rsid w:val="001D3A9B"/>
    <w:rsid w:val="001D62CB"/>
    <w:rsid w:val="001E061A"/>
    <w:rsid w:val="001E269C"/>
    <w:rsid w:val="001E334D"/>
    <w:rsid w:val="001E36A8"/>
    <w:rsid w:val="001E374A"/>
    <w:rsid w:val="001E45C3"/>
    <w:rsid w:val="001E593B"/>
    <w:rsid w:val="001E5AE0"/>
    <w:rsid w:val="001F0344"/>
    <w:rsid w:val="001F0710"/>
    <w:rsid w:val="001F137E"/>
    <w:rsid w:val="001F1594"/>
    <w:rsid w:val="001F47DE"/>
    <w:rsid w:val="001F6A20"/>
    <w:rsid w:val="001F6E2F"/>
    <w:rsid w:val="0020407D"/>
    <w:rsid w:val="002048AE"/>
    <w:rsid w:val="00206432"/>
    <w:rsid w:val="00206944"/>
    <w:rsid w:val="00210629"/>
    <w:rsid w:val="002107E0"/>
    <w:rsid w:val="002112D9"/>
    <w:rsid w:val="00211B48"/>
    <w:rsid w:val="002133B9"/>
    <w:rsid w:val="00213812"/>
    <w:rsid w:val="00214063"/>
    <w:rsid w:val="00217111"/>
    <w:rsid w:val="0021764D"/>
    <w:rsid w:val="00217E40"/>
    <w:rsid w:val="002209AB"/>
    <w:rsid w:val="00220E19"/>
    <w:rsid w:val="002223E9"/>
    <w:rsid w:val="00222B6E"/>
    <w:rsid w:val="00223A96"/>
    <w:rsid w:val="00227662"/>
    <w:rsid w:val="0023065C"/>
    <w:rsid w:val="00231710"/>
    <w:rsid w:val="00231A8B"/>
    <w:rsid w:val="002331C2"/>
    <w:rsid w:val="002350FE"/>
    <w:rsid w:val="0023592F"/>
    <w:rsid w:val="002359A6"/>
    <w:rsid w:val="00236888"/>
    <w:rsid w:val="00237E47"/>
    <w:rsid w:val="00240802"/>
    <w:rsid w:val="0024089A"/>
    <w:rsid w:val="00241BD1"/>
    <w:rsid w:val="00242A09"/>
    <w:rsid w:val="002442E4"/>
    <w:rsid w:val="00244B09"/>
    <w:rsid w:val="002454A0"/>
    <w:rsid w:val="0024578A"/>
    <w:rsid w:val="0024622C"/>
    <w:rsid w:val="0024643E"/>
    <w:rsid w:val="00250C6D"/>
    <w:rsid w:val="00252535"/>
    <w:rsid w:val="00252763"/>
    <w:rsid w:val="002528D3"/>
    <w:rsid w:val="00252B3D"/>
    <w:rsid w:val="00253A81"/>
    <w:rsid w:val="00253BEC"/>
    <w:rsid w:val="00256B06"/>
    <w:rsid w:val="002574EE"/>
    <w:rsid w:val="00257FF5"/>
    <w:rsid w:val="0026007E"/>
    <w:rsid w:val="00261AE4"/>
    <w:rsid w:val="00261FA0"/>
    <w:rsid w:val="00265170"/>
    <w:rsid w:val="0026521F"/>
    <w:rsid w:val="00265E3F"/>
    <w:rsid w:val="0026626C"/>
    <w:rsid w:val="002703B1"/>
    <w:rsid w:val="002706E0"/>
    <w:rsid w:val="00270CEF"/>
    <w:rsid w:val="00271BF6"/>
    <w:rsid w:val="002741EF"/>
    <w:rsid w:val="002748D5"/>
    <w:rsid w:val="00275337"/>
    <w:rsid w:val="00276600"/>
    <w:rsid w:val="002841B0"/>
    <w:rsid w:val="00284380"/>
    <w:rsid w:val="00287DCE"/>
    <w:rsid w:val="002908C3"/>
    <w:rsid w:val="00291506"/>
    <w:rsid w:val="002923DF"/>
    <w:rsid w:val="00296B9B"/>
    <w:rsid w:val="002A191C"/>
    <w:rsid w:val="002A3957"/>
    <w:rsid w:val="002A4183"/>
    <w:rsid w:val="002A5D87"/>
    <w:rsid w:val="002A766C"/>
    <w:rsid w:val="002A7CE7"/>
    <w:rsid w:val="002B1B63"/>
    <w:rsid w:val="002B5043"/>
    <w:rsid w:val="002B5341"/>
    <w:rsid w:val="002B7333"/>
    <w:rsid w:val="002C041B"/>
    <w:rsid w:val="002C192A"/>
    <w:rsid w:val="002C1E22"/>
    <w:rsid w:val="002C4522"/>
    <w:rsid w:val="002C5201"/>
    <w:rsid w:val="002C75AF"/>
    <w:rsid w:val="002C7E66"/>
    <w:rsid w:val="002D067C"/>
    <w:rsid w:val="002D0F2B"/>
    <w:rsid w:val="002D1F63"/>
    <w:rsid w:val="002D28EF"/>
    <w:rsid w:val="002D28F0"/>
    <w:rsid w:val="002D2E35"/>
    <w:rsid w:val="002D36F6"/>
    <w:rsid w:val="002D4C0A"/>
    <w:rsid w:val="002D4FD9"/>
    <w:rsid w:val="002E0D08"/>
    <w:rsid w:val="002E11C2"/>
    <w:rsid w:val="002E3CB0"/>
    <w:rsid w:val="002E4DEB"/>
    <w:rsid w:val="002E54F3"/>
    <w:rsid w:val="002E57BD"/>
    <w:rsid w:val="002E7CEE"/>
    <w:rsid w:val="002F1D96"/>
    <w:rsid w:val="002F3930"/>
    <w:rsid w:val="002F39E5"/>
    <w:rsid w:val="002F4F1F"/>
    <w:rsid w:val="002F50CF"/>
    <w:rsid w:val="002F5DC6"/>
    <w:rsid w:val="002F715C"/>
    <w:rsid w:val="002F71D8"/>
    <w:rsid w:val="00300DC1"/>
    <w:rsid w:val="003013C0"/>
    <w:rsid w:val="00302236"/>
    <w:rsid w:val="003046A6"/>
    <w:rsid w:val="00304B3F"/>
    <w:rsid w:val="00306E55"/>
    <w:rsid w:val="00306FBB"/>
    <w:rsid w:val="00307D0D"/>
    <w:rsid w:val="0031008D"/>
    <w:rsid w:val="0031096D"/>
    <w:rsid w:val="00310E91"/>
    <w:rsid w:val="003110D6"/>
    <w:rsid w:val="0031392A"/>
    <w:rsid w:val="00315FFB"/>
    <w:rsid w:val="00317A0E"/>
    <w:rsid w:val="0032264B"/>
    <w:rsid w:val="00327005"/>
    <w:rsid w:val="00327B6B"/>
    <w:rsid w:val="003309E2"/>
    <w:rsid w:val="00333BFB"/>
    <w:rsid w:val="00336B4E"/>
    <w:rsid w:val="00337DB0"/>
    <w:rsid w:val="00340325"/>
    <w:rsid w:val="00340895"/>
    <w:rsid w:val="00341915"/>
    <w:rsid w:val="00342A60"/>
    <w:rsid w:val="003441D3"/>
    <w:rsid w:val="00345E2C"/>
    <w:rsid w:val="00347CBE"/>
    <w:rsid w:val="003502CE"/>
    <w:rsid w:val="00353E18"/>
    <w:rsid w:val="00356264"/>
    <w:rsid w:val="003625E6"/>
    <w:rsid w:val="00365324"/>
    <w:rsid w:val="0036579A"/>
    <w:rsid w:val="00366D01"/>
    <w:rsid w:val="00366FB2"/>
    <w:rsid w:val="00367C79"/>
    <w:rsid w:val="00367E6A"/>
    <w:rsid w:val="00370719"/>
    <w:rsid w:val="003730F0"/>
    <w:rsid w:val="00375B9E"/>
    <w:rsid w:val="00375CCC"/>
    <w:rsid w:val="003760AE"/>
    <w:rsid w:val="0037649C"/>
    <w:rsid w:val="00377104"/>
    <w:rsid w:val="003776FF"/>
    <w:rsid w:val="003856D1"/>
    <w:rsid w:val="00385F9E"/>
    <w:rsid w:val="00386984"/>
    <w:rsid w:val="00387120"/>
    <w:rsid w:val="0038735D"/>
    <w:rsid w:val="0039039D"/>
    <w:rsid w:val="003911B7"/>
    <w:rsid w:val="003913B3"/>
    <w:rsid w:val="003920BF"/>
    <w:rsid w:val="00392C9F"/>
    <w:rsid w:val="00393B19"/>
    <w:rsid w:val="0039495A"/>
    <w:rsid w:val="00394A7E"/>
    <w:rsid w:val="0039757A"/>
    <w:rsid w:val="003A0984"/>
    <w:rsid w:val="003A30AD"/>
    <w:rsid w:val="003A4120"/>
    <w:rsid w:val="003A4183"/>
    <w:rsid w:val="003A46F2"/>
    <w:rsid w:val="003A4E0D"/>
    <w:rsid w:val="003A57D9"/>
    <w:rsid w:val="003A5FF5"/>
    <w:rsid w:val="003B095E"/>
    <w:rsid w:val="003B293E"/>
    <w:rsid w:val="003B40BC"/>
    <w:rsid w:val="003B6B75"/>
    <w:rsid w:val="003B73B6"/>
    <w:rsid w:val="003B7554"/>
    <w:rsid w:val="003C0F48"/>
    <w:rsid w:val="003C1055"/>
    <w:rsid w:val="003C3291"/>
    <w:rsid w:val="003C4B4F"/>
    <w:rsid w:val="003C57D8"/>
    <w:rsid w:val="003C5817"/>
    <w:rsid w:val="003C594D"/>
    <w:rsid w:val="003C772A"/>
    <w:rsid w:val="003C7B3D"/>
    <w:rsid w:val="003D29ED"/>
    <w:rsid w:val="003E241D"/>
    <w:rsid w:val="003E3492"/>
    <w:rsid w:val="003E401E"/>
    <w:rsid w:val="003E5F52"/>
    <w:rsid w:val="003E69BC"/>
    <w:rsid w:val="003E71D7"/>
    <w:rsid w:val="003F66C5"/>
    <w:rsid w:val="003F7BEC"/>
    <w:rsid w:val="00400812"/>
    <w:rsid w:val="004014AC"/>
    <w:rsid w:val="0040462F"/>
    <w:rsid w:val="0040556A"/>
    <w:rsid w:val="00405979"/>
    <w:rsid w:val="00405FC1"/>
    <w:rsid w:val="00407378"/>
    <w:rsid w:val="004105BF"/>
    <w:rsid w:val="00411359"/>
    <w:rsid w:val="00412B37"/>
    <w:rsid w:val="004145EB"/>
    <w:rsid w:val="0041579A"/>
    <w:rsid w:val="00417431"/>
    <w:rsid w:val="00420512"/>
    <w:rsid w:val="004208CB"/>
    <w:rsid w:val="0042423F"/>
    <w:rsid w:val="004252AD"/>
    <w:rsid w:val="00425CCE"/>
    <w:rsid w:val="004262DA"/>
    <w:rsid w:val="00426C3B"/>
    <w:rsid w:val="004270C1"/>
    <w:rsid w:val="0042740A"/>
    <w:rsid w:val="00427A2D"/>
    <w:rsid w:val="00427A51"/>
    <w:rsid w:val="0043066B"/>
    <w:rsid w:val="00431FC8"/>
    <w:rsid w:val="004326C9"/>
    <w:rsid w:val="00432818"/>
    <w:rsid w:val="00442D89"/>
    <w:rsid w:val="00446622"/>
    <w:rsid w:val="0044767D"/>
    <w:rsid w:val="00450E6F"/>
    <w:rsid w:val="00452347"/>
    <w:rsid w:val="0045299E"/>
    <w:rsid w:val="004531FC"/>
    <w:rsid w:val="00453734"/>
    <w:rsid w:val="004559ED"/>
    <w:rsid w:val="004573E1"/>
    <w:rsid w:val="00457548"/>
    <w:rsid w:val="004604D7"/>
    <w:rsid w:val="00460619"/>
    <w:rsid w:val="00463C77"/>
    <w:rsid w:val="00465841"/>
    <w:rsid w:val="00465F94"/>
    <w:rsid w:val="004666BB"/>
    <w:rsid w:val="004675C5"/>
    <w:rsid w:val="00470475"/>
    <w:rsid w:val="00470B85"/>
    <w:rsid w:val="00470FAE"/>
    <w:rsid w:val="0047185B"/>
    <w:rsid w:val="0047354A"/>
    <w:rsid w:val="00473BF1"/>
    <w:rsid w:val="00473D1E"/>
    <w:rsid w:val="00474742"/>
    <w:rsid w:val="004752CD"/>
    <w:rsid w:val="00475E7E"/>
    <w:rsid w:val="00476043"/>
    <w:rsid w:val="004761AD"/>
    <w:rsid w:val="00476D9D"/>
    <w:rsid w:val="00480EA4"/>
    <w:rsid w:val="00482484"/>
    <w:rsid w:val="004838DB"/>
    <w:rsid w:val="00484578"/>
    <w:rsid w:val="004845B3"/>
    <w:rsid w:val="004852E7"/>
    <w:rsid w:val="0049285B"/>
    <w:rsid w:val="004929C0"/>
    <w:rsid w:val="00492B27"/>
    <w:rsid w:val="00493CD3"/>
    <w:rsid w:val="0049506A"/>
    <w:rsid w:val="0049628F"/>
    <w:rsid w:val="0049687F"/>
    <w:rsid w:val="004A02A6"/>
    <w:rsid w:val="004A20BF"/>
    <w:rsid w:val="004A2751"/>
    <w:rsid w:val="004A2C5C"/>
    <w:rsid w:val="004A2E90"/>
    <w:rsid w:val="004A5F71"/>
    <w:rsid w:val="004A74C4"/>
    <w:rsid w:val="004B1DDA"/>
    <w:rsid w:val="004B271C"/>
    <w:rsid w:val="004B42F7"/>
    <w:rsid w:val="004B44D4"/>
    <w:rsid w:val="004B6288"/>
    <w:rsid w:val="004B6DE8"/>
    <w:rsid w:val="004C1B34"/>
    <w:rsid w:val="004C1DE4"/>
    <w:rsid w:val="004C6623"/>
    <w:rsid w:val="004C687A"/>
    <w:rsid w:val="004D0F40"/>
    <w:rsid w:val="004D114C"/>
    <w:rsid w:val="004D1A93"/>
    <w:rsid w:val="004D22A9"/>
    <w:rsid w:val="004D7030"/>
    <w:rsid w:val="004D7F2B"/>
    <w:rsid w:val="004E004E"/>
    <w:rsid w:val="004E11FF"/>
    <w:rsid w:val="004E24A3"/>
    <w:rsid w:val="004E3AA3"/>
    <w:rsid w:val="004E3FA9"/>
    <w:rsid w:val="004E7217"/>
    <w:rsid w:val="004F0144"/>
    <w:rsid w:val="004F2F01"/>
    <w:rsid w:val="004F4607"/>
    <w:rsid w:val="004F6994"/>
    <w:rsid w:val="004F6EFD"/>
    <w:rsid w:val="004F75E8"/>
    <w:rsid w:val="004F796A"/>
    <w:rsid w:val="005041BA"/>
    <w:rsid w:val="005067D7"/>
    <w:rsid w:val="005105AC"/>
    <w:rsid w:val="00510D51"/>
    <w:rsid w:val="00511799"/>
    <w:rsid w:val="00512CEF"/>
    <w:rsid w:val="00513DC7"/>
    <w:rsid w:val="005144D0"/>
    <w:rsid w:val="00516C54"/>
    <w:rsid w:val="00520011"/>
    <w:rsid w:val="00522E4D"/>
    <w:rsid w:val="005253C8"/>
    <w:rsid w:val="0052566D"/>
    <w:rsid w:val="00526193"/>
    <w:rsid w:val="00527662"/>
    <w:rsid w:val="00527BE1"/>
    <w:rsid w:val="005303F0"/>
    <w:rsid w:val="0053079B"/>
    <w:rsid w:val="00532323"/>
    <w:rsid w:val="00537D99"/>
    <w:rsid w:val="00537F6F"/>
    <w:rsid w:val="00540969"/>
    <w:rsid w:val="0054411A"/>
    <w:rsid w:val="00545051"/>
    <w:rsid w:val="00550AE7"/>
    <w:rsid w:val="00553892"/>
    <w:rsid w:val="0055444D"/>
    <w:rsid w:val="00555C35"/>
    <w:rsid w:val="00555DCB"/>
    <w:rsid w:val="00561977"/>
    <w:rsid w:val="00562731"/>
    <w:rsid w:val="00562C4E"/>
    <w:rsid w:val="00563B74"/>
    <w:rsid w:val="00565AD8"/>
    <w:rsid w:val="00566DDA"/>
    <w:rsid w:val="005675A3"/>
    <w:rsid w:val="005677D0"/>
    <w:rsid w:val="0057257A"/>
    <w:rsid w:val="00573237"/>
    <w:rsid w:val="0057364B"/>
    <w:rsid w:val="0057435C"/>
    <w:rsid w:val="00574948"/>
    <w:rsid w:val="00575F30"/>
    <w:rsid w:val="00577487"/>
    <w:rsid w:val="00580895"/>
    <w:rsid w:val="00581010"/>
    <w:rsid w:val="00581423"/>
    <w:rsid w:val="005819C3"/>
    <w:rsid w:val="00583F08"/>
    <w:rsid w:val="00584993"/>
    <w:rsid w:val="00584B10"/>
    <w:rsid w:val="00585C63"/>
    <w:rsid w:val="00585EFA"/>
    <w:rsid w:val="00591EA7"/>
    <w:rsid w:val="0059457A"/>
    <w:rsid w:val="0059759B"/>
    <w:rsid w:val="005A02EA"/>
    <w:rsid w:val="005A03C7"/>
    <w:rsid w:val="005A1630"/>
    <w:rsid w:val="005A50B1"/>
    <w:rsid w:val="005A6B48"/>
    <w:rsid w:val="005A7AC2"/>
    <w:rsid w:val="005B0570"/>
    <w:rsid w:val="005B0BFF"/>
    <w:rsid w:val="005B2268"/>
    <w:rsid w:val="005B2658"/>
    <w:rsid w:val="005B392A"/>
    <w:rsid w:val="005B3F33"/>
    <w:rsid w:val="005B5080"/>
    <w:rsid w:val="005B716B"/>
    <w:rsid w:val="005B7634"/>
    <w:rsid w:val="005C00AC"/>
    <w:rsid w:val="005C08D3"/>
    <w:rsid w:val="005C1C61"/>
    <w:rsid w:val="005C44CC"/>
    <w:rsid w:val="005C4B1E"/>
    <w:rsid w:val="005C5822"/>
    <w:rsid w:val="005D3E3F"/>
    <w:rsid w:val="005D57A2"/>
    <w:rsid w:val="005E2307"/>
    <w:rsid w:val="005E2479"/>
    <w:rsid w:val="005E35E9"/>
    <w:rsid w:val="005E365F"/>
    <w:rsid w:val="005E3EA9"/>
    <w:rsid w:val="005E4545"/>
    <w:rsid w:val="005E5854"/>
    <w:rsid w:val="005F0776"/>
    <w:rsid w:val="005F2BF8"/>
    <w:rsid w:val="005F58BC"/>
    <w:rsid w:val="005F5971"/>
    <w:rsid w:val="0060013F"/>
    <w:rsid w:val="0060075D"/>
    <w:rsid w:val="006028D4"/>
    <w:rsid w:val="00603663"/>
    <w:rsid w:val="00603B7E"/>
    <w:rsid w:val="0060403B"/>
    <w:rsid w:val="00604D5B"/>
    <w:rsid w:val="00604EA0"/>
    <w:rsid w:val="00606554"/>
    <w:rsid w:val="006075D5"/>
    <w:rsid w:val="00611C7E"/>
    <w:rsid w:val="00612D47"/>
    <w:rsid w:val="00612D8A"/>
    <w:rsid w:val="006148F1"/>
    <w:rsid w:val="00623A89"/>
    <w:rsid w:val="00624135"/>
    <w:rsid w:val="00624312"/>
    <w:rsid w:val="0062585D"/>
    <w:rsid w:val="006258C2"/>
    <w:rsid w:val="0062632A"/>
    <w:rsid w:val="006304E9"/>
    <w:rsid w:val="0063064B"/>
    <w:rsid w:val="00630A49"/>
    <w:rsid w:val="00630C60"/>
    <w:rsid w:val="00632BD8"/>
    <w:rsid w:val="00640EAB"/>
    <w:rsid w:val="00642298"/>
    <w:rsid w:val="0064265C"/>
    <w:rsid w:val="0064267B"/>
    <w:rsid w:val="0064304D"/>
    <w:rsid w:val="006451E5"/>
    <w:rsid w:val="00645B9C"/>
    <w:rsid w:val="0064725F"/>
    <w:rsid w:val="00647571"/>
    <w:rsid w:val="0065035E"/>
    <w:rsid w:val="0065310C"/>
    <w:rsid w:val="00653E70"/>
    <w:rsid w:val="00656216"/>
    <w:rsid w:val="00656255"/>
    <w:rsid w:val="006577EE"/>
    <w:rsid w:val="00661017"/>
    <w:rsid w:val="00662A89"/>
    <w:rsid w:val="00663863"/>
    <w:rsid w:val="0066435C"/>
    <w:rsid w:val="0066473B"/>
    <w:rsid w:val="0066483B"/>
    <w:rsid w:val="00664AE4"/>
    <w:rsid w:val="00665A1E"/>
    <w:rsid w:val="00667D9C"/>
    <w:rsid w:val="00670137"/>
    <w:rsid w:val="006707CF"/>
    <w:rsid w:val="00671B7E"/>
    <w:rsid w:val="006728CE"/>
    <w:rsid w:val="00676A76"/>
    <w:rsid w:val="006771DB"/>
    <w:rsid w:val="006773D7"/>
    <w:rsid w:val="00677D3B"/>
    <w:rsid w:val="00677F95"/>
    <w:rsid w:val="0068125D"/>
    <w:rsid w:val="00681610"/>
    <w:rsid w:val="00681ACB"/>
    <w:rsid w:val="006852C9"/>
    <w:rsid w:val="00685367"/>
    <w:rsid w:val="006861E0"/>
    <w:rsid w:val="00686B58"/>
    <w:rsid w:val="00686EC5"/>
    <w:rsid w:val="0068741F"/>
    <w:rsid w:val="00690015"/>
    <w:rsid w:val="0069188A"/>
    <w:rsid w:val="00691E5B"/>
    <w:rsid w:val="0069231E"/>
    <w:rsid w:val="00692C96"/>
    <w:rsid w:val="00693AF1"/>
    <w:rsid w:val="00694DF1"/>
    <w:rsid w:val="00694F0E"/>
    <w:rsid w:val="00696CD4"/>
    <w:rsid w:val="006A0DEB"/>
    <w:rsid w:val="006A2C3A"/>
    <w:rsid w:val="006A3A37"/>
    <w:rsid w:val="006A3FF2"/>
    <w:rsid w:val="006A61C0"/>
    <w:rsid w:val="006A6490"/>
    <w:rsid w:val="006A73B4"/>
    <w:rsid w:val="006B2A29"/>
    <w:rsid w:val="006B36BE"/>
    <w:rsid w:val="006B441C"/>
    <w:rsid w:val="006B5BA7"/>
    <w:rsid w:val="006B6E45"/>
    <w:rsid w:val="006B7452"/>
    <w:rsid w:val="006C0875"/>
    <w:rsid w:val="006C30D0"/>
    <w:rsid w:val="006C4856"/>
    <w:rsid w:val="006C5571"/>
    <w:rsid w:val="006C60DA"/>
    <w:rsid w:val="006D0978"/>
    <w:rsid w:val="006D25E0"/>
    <w:rsid w:val="006D2BCD"/>
    <w:rsid w:val="006D6FAB"/>
    <w:rsid w:val="006D7891"/>
    <w:rsid w:val="006D7BDB"/>
    <w:rsid w:val="006D7C99"/>
    <w:rsid w:val="006E042C"/>
    <w:rsid w:val="006E1690"/>
    <w:rsid w:val="006E4940"/>
    <w:rsid w:val="006E7960"/>
    <w:rsid w:val="006F0696"/>
    <w:rsid w:val="006F41F6"/>
    <w:rsid w:val="006F713E"/>
    <w:rsid w:val="006F72B0"/>
    <w:rsid w:val="006F7FAE"/>
    <w:rsid w:val="00700479"/>
    <w:rsid w:val="0070515A"/>
    <w:rsid w:val="00705A92"/>
    <w:rsid w:val="0070618B"/>
    <w:rsid w:val="0070650B"/>
    <w:rsid w:val="00707366"/>
    <w:rsid w:val="0071107C"/>
    <w:rsid w:val="007116DF"/>
    <w:rsid w:val="00713D0B"/>
    <w:rsid w:val="00714C61"/>
    <w:rsid w:val="00714EAD"/>
    <w:rsid w:val="007151A5"/>
    <w:rsid w:val="007163CA"/>
    <w:rsid w:val="007165FC"/>
    <w:rsid w:val="00716773"/>
    <w:rsid w:val="007168F8"/>
    <w:rsid w:val="00717655"/>
    <w:rsid w:val="00717BC5"/>
    <w:rsid w:val="00717F95"/>
    <w:rsid w:val="007205B4"/>
    <w:rsid w:val="007205F9"/>
    <w:rsid w:val="00724A08"/>
    <w:rsid w:val="00725B81"/>
    <w:rsid w:val="00725C05"/>
    <w:rsid w:val="00725D3F"/>
    <w:rsid w:val="00731239"/>
    <w:rsid w:val="00743487"/>
    <w:rsid w:val="00743AB6"/>
    <w:rsid w:val="0074528D"/>
    <w:rsid w:val="00745634"/>
    <w:rsid w:val="00746EAC"/>
    <w:rsid w:val="007515D0"/>
    <w:rsid w:val="0076198F"/>
    <w:rsid w:val="00762ACD"/>
    <w:rsid w:val="007636C2"/>
    <w:rsid w:val="00763F46"/>
    <w:rsid w:val="007648D1"/>
    <w:rsid w:val="0076518E"/>
    <w:rsid w:val="00766449"/>
    <w:rsid w:val="00766767"/>
    <w:rsid w:val="0077003F"/>
    <w:rsid w:val="0077195F"/>
    <w:rsid w:val="00771DAA"/>
    <w:rsid w:val="00775EDE"/>
    <w:rsid w:val="0077679C"/>
    <w:rsid w:val="00783C28"/>
    <w:rsid w:val="00783EBC"/>
    <w:rsid w:val="00784FEB"/>
    <w:rsid w:val="0079366E"/>
    <w:rsid w:val="007943E9"/>
    <w:rsid w:val="00795CC3"/>
    <w:rsid w:val="00796100"/>
    <w:rsid w:val="00796114"/>
    <w:rsid w:val="007A0BCB"/>
    <w:rsid w:val="007A1609"/>
    <w:rsid w:val="007A17CD"/>
    <w:rsid w:val="007A189A"/>
    <w:rsid w:val="007A4127"/>
    <w:rsid w:val="007A6105"/>
    <w:rsid w:val="007A752D"/>
    <w:rsid w:val="007A7A50"/>
    <w:rsid w:val="007A7BFA"/>
    <w:rsid w:val="007B0592"/>
    <w:rsid w:val="007B1015"/>
    <w:rsid w:val="007B2C0A"/>
    <w:rsid w:val="007B6317"/>
    <w:rsid w:val="007C4BAF"/>
    <w:rsid w:val="007C51C9"/>
    <w:rsid w:val="007D0D66"/>
    <w:rsid w:val="007D2DD6"/>
    <w:rsid w:val="007D53C2"/>
    <w:rsid w:val="007D7338"/>
    <w:rsid w:val="007D76E4"/>
    <w:rsid w:val="007E26C2"/>
    <w:rsid w:val="007E26E6"/>
    <w:rsid w:val="007E61FE"/>
    <w:rsid w:val="007F1665"/>
    <w:rsid w:val="007F1A16"/>
    <w:rsid w:val="007F2A35"/>
    <w:rsid w:val="007F2FF2"/>
    <w:rsid w:val="007F59CE"/>
    <w:rsid w:val="007F61AC"/>
    <w:rsid w:val="007F7A47"/>
    <w:rsid w:val="007F7B4E"/>
    <w:rsid w:val="00801BE5"/>
    <w:rsid w:val="008043B4"/>
    <w:rsid w:val="00804DF2"/>
    <w:rsid w:val="00807CAB"/>
    <w:rsid w:val="00811B35"/>
    <w:rsid w:val="00811D6C"/>
    <w:rsid w:val="00812476"/>
    <w:rsid w:val="00812AE3"/>
    <w:rsid w:val="00813870"/>
    <w:rsid w:val="008139BC"/>
    <w:rsid w:val="00815B79"/>
    <w:rsid w:val="00815CEF"/>
    <w:rsid w:val="00815E52"/>
    <w:rsid w:val="00817972"/>
    <w:rsid w:val="00820166"/>
    <w:rsid w:val="00821DD3"/>
    <w:rsid w:val="0082216E"/>
    <w:rsid w:val="00822DAF"/>
    <w:rsid w:val="00825513"/>
    <w:rsid w:val="00825C90"/>
    <w:rsid w:val="00827007"/>
    <w:rsid w:val="00827C47"/>
    <w:rsid w:val="008301C4"/>
    <w:rsid w:val="00830768"/>
    <w:rsid w:val="00834615"/>
    <w:rsid w:val="0083550E"/>
    <w:rsid w:val="00835655"/>
    <w:rsid w:val="00836662"/>
    <w:rsid w:val="008403DC"/>
    <w:rsid w:val="0084222A"/>
    <w:rsid w:val="00842D92"/>
    <w:rsid w:val="00843475"/>
    <w:rsid w:val="008473AA"/>
    <w:rsid w:val="00854C09"/>
    <w:rsid w:val="00855D57"/>
    <w:rsid w:val="008564E5"/>
    <w:rsid w:val="008573B8"/>
    <w:rsid w:val="0086048F"/>
    <w:rsid w:val="00862151"/>
    <w:rsid w:val="00862D03"/>
    <w:rsid w:val="008639FD"/>
    <w:rsid w:val="008641C1"/>
    <w:rsid w:val="008645DE"/>
    <w:rsid w:val="00872AA3"/>
    <w:rsid w:val="00872B3C"/>
    <w:rsid w:val="00874B9C"/>
    <w:rsid w:val="00875E7B"/>
    <w:rsid w:val="00876307"/>
    <w:rsid w:val="008763C8"/>
    <w:rsid w:val="0087797E"/>
    <w:rsid w:val="00877DB4"/>
    <w:rsid w:val="008820E5"/>
    <w:rsid w:val="0088283E"/>
    <w:rsid w:val="00882F22"/>
    <w:rsid w:val="008845A0"/>
    <w:rsid w:val="00885076"/>
    <w:rsid w:val="0088601D"/>
    <w:rsid w:val="00890F40"/>
    <w:rsid w:val="00890FFF"/>
    <w:rsid w:val="00893449"/>
    <w:rsid w:val="00893E66"/>
    <w:rsid w:val="00893F66"/>
    <w:rsid w:val="008A089B"/>
    <w:rsid w:val="008A0AB1"/>
    <w:rsid w:val="008A102F"/>
    <w:rsid w:val="008A517D"/>
    <w:rsid w:val="008A5ACF"/>
    <w:rsid w:val="008A6A0D"/>
    <w:rsid w:val="008A6D54"/>
    <w:rsid w:val="008B09DB"/>
    <w:rsid w:val="008B0CC2"/>
    <w:rsid w:val="008B3605"/>
    <w:rsid w:val="008B6631"/>
    <w:rsid w:val="008B67D5"/>
    <w:rsid w:val="008C084D"/>
    <w:rsid w:val="008C3D28"/>
    <w:rsid w:val="008C45EF"/>
    <w:rsid w:val="008C7183"/>
    <w:rsid w:val="008C7E7B"/>
    <w:rsid w:val="008D007C"/>
    <w:rsid w:val="008D1546"/>
    <w:rsid w:val="008D2883"/>
    <w:rsid w:val="008D530C"/>
    <w:rsid w:val="008D7427"/>
    <w:rsid w:val="008D765E"/>
    <w:rsid w:val="008E19FD"/>
    <w:rsid w:val="008E1C7D"/>
    <w:rsid w:val="008E2752"/>
    <w:rsid w:val="008E5560"/>
    <w:rsid w:val="008E6222"/>
    <w:rsid w:val="008E7558"/>
    <w:rsid w:val="008E7882"/>
    <w:rsid w:val="008F0056"/>
    <w:rsid w:val="008F0BC4"/>
    <w:rsid w:val="008F0F12"/>
    <w:rsid w:val="008F1883"/>
    <w:rsid w:val="008F591B"/>
    <w:rsid w:val="008F60B6"/>
    <w:rsid w:val="008F621A"/>
    <w:rsid w:val="008F791C"/>
    <w:rsid w:val="00900EE5"/>
    <w:rsid w:val="0090366A"/>
    <w:rsid w:val="00903E9F"/>
    <w:rsid w:val="009058D7"/>
    <w:rsid w:val="00905C22"/>
    <w:rsid w:val="0090635D"/>
    <w:rsid w:val="00906414"/>
    <w:rsid w:val="00907068"/>
    <w:rsid w:val="00907F2E"/>
    <w:rsid w:val="00913FBB"/>
    <w:rsid w:val="00914D8E"/>
    <w:rsid w:val="00915A51"/>
    <w:rsid w:val="00915C31"/>
    <w:rsid w:val="00916DCD"/>
    <w:rsid w:val="009171AF"/>
    <w:rsid w:val="0092082F"/>
    <w:rsid w:val="009219E6"/>
    <w:rsid w:val="00925C26"/>
    <w:rsid w:val="00926389"/>
    <w:rsid w:val="00926ACF"/>
    <w:rsid w:val="00930147"/>
    <w:rsid w:val="00930C90"/>
    <w:rsid w:val="00932718"/>
    <w:rsid w:val="009328EC"/>
    <w:rsid w:val="00933F0C"/>
    <w:rsid w:val="00934EE8"/>
    <w:rsid w:val="00934F35"/>
    <w:rsid w:val="00935E09"/>
    <w:rsid w:val="00936B99"/>
    <w:rsid w:val="0094102B"/>
    <w:rsid w:val="0094191A"/>
    <w:rsid w:val="009436C6"/>
    <w:rsid w:val="0095011C"/>
    <w:rsid w:val="0095331D"/>
    <w:rsid w:val="00953FDC"/>
    <w:rsid w:val="00954279"/>
    <w:rsid w:val="0095474C"/>
    <w:rsid w:val="00954B31"/>
    <w:rsid w:val="00954C55"/>
    <w:rsid w:val="00955E38"/>
    <w:rsid w:val="00956871"/>
    <w:rsid w:val="009570F5"/>
    <w:rsid w:val="009579B2"/>
    <w:rsid w:val="00957A2B"/>
    <w:rsid w:val="00960AD8"/>
    <w:rsid w:val="0096469F"/>
    <w:rsid w:val="00966B92"/>
    <w:rsid w:val="00970A16"/>
    <w:rsid w:val="0097102D"/>
    <w:rsid w:val="0097146B"/>
    <w:rsid w:val="00973C9A"/>
    <w:rsid w:val="00973DCB"/>
    <w:rsid w:val="009748F4"/>
    <w:rsid w:val="009755A8"/>
    <w:rsid w:val="00975768"/>
    <w:rsid w:val="009759DF"/>
    <w:rsid w:val="00980E51"/>
    <w:rsid w:val="00983EEE"/>
    <w:rsid w:val="009843B2"/>
    <w:rsid w:val="009849BE"/>
    <w:rsid w:val="00985F6C"/>
    <w:rsid w:val="00990019"/>
    <w:rsid w:val="00990B2E"/>
    <w:rsid w:val="009916B0"/>
    <w:rsid w:val="00991E7E"/>
    <w:rsid w:val="00992022"/>
    <w:rsid w:val="009943B7"/>
    <w:rsid w:val="009954D4"/>
    <w:rsid w:val="009959B0"/>
    <w:rsid w:val="009960C8"/>
    <w:rsid w:val="00996594"/>
    <w:rsid w:val="009970BC"/>
    <w:rsid w:val="009A01BC"/>
    <w:rsid w:val="009A414C"/>
    <w:rsid w:val="009A4793"/>
    <w:rsid w:val="009A49E4"/>
    <w:rsid w:val="009A7749"/>
    <w:rsid w:val="009B1E65"/>
    <w:rsid w:val="009B2C25"/>
    <w:rsid w:val="009B5220"/>
    <w:rsid w:val="009B5A70"/>
    <w:rsid w:val="009B6266"/>
    <w:rsid w:val="009B67DF"/>
    <w:rsid w:val="009B692C"/>
    <w:rsid w:val="009C5A1F"/>
    <w:rsid w:val="009C5F35"/>
    <w:rsid w:val="009C7844"/>
    <w:rsid w:val="009D24D7"/>
    <w:rsid w:val="009D26F9"/>
    <w:rsid w:val="009D6A9A"/>
    <w:rsid w:val="009D79EE"/>
    <w:rsid w:val="009E10E2"/>
    <w:rsid w:val="009E460E"/>
    <w:rsid w:val="009E568F"/>
    <w:rsid w:val="009E5777"/>
    <w:rsid w:val="009E5A8A"/>
    <w:rsid w:val="009E6370"/>
    <w:rsid w:val="009F332B"/>
    <w:rsid w:val="009F3928"/>
    <w:rsid w:val="009F41EE"/>
    <w:rsid w:val="009F4BFB"/>
    <w:rsid w:val="009F4D78"/>
    <w:rsid w:val="009F5EA1"/>
    <w:rsid w:val="009F7BCB"/>
    <w:rsid w:val="00A018B8"/>
    <w:rsid w:val="00A07385"/>
    <w:rsid w:val="00A1071B"/>
    <w:rsid w:val="00A123DB"/>
    <w:rsid w:val="00A12723"/>
    <w:rsid w:val="00A142D8"/>
    <w:rsid w:val="00A14813"/>
    <w:rsid w:val="00A154AB"/>
    <w:rsid w:val="00A17EF1"/>
    <w:rsid w:val="00A204BB"/>
    <w:rsid w:val="00A20E88"/>
    <w:rsid w:val="00A21D34"/>
    <w:rsid w:val="00A22EA9"/>
    <w:rsid w:val="00A24F5D"/>
    <w:rsid w:val="00A25C22"/>
    <w:rsid w:val="00A25C9C"/>
    <w:rsid w:val="00A266C8"/>
    <w:rsid w:val="00A270B9"/>
    <w:rsid w:val="00A27625"/>
    <w:rsid w:val="00A30E97"/>
    <w:rsid w:val="00A31175"/>
    <w:rsid w:val="00A31E47"/>
    <w:rsid w:val="00A33A5B"/>
    <w:rsid w:val="00A33F34"/>
    <w:rsid w:val="00A34330"/>
    <w:rsid w:val="00A346EF"/>
    <w:rsid w:val="00A34D51"/>
    <w:rsid w:val="00A3529E"/>
    <w:rsid w:val="00A43750"/>
    <w:rsid w:val="00A443A1"/>
    <w:rsid w:val="00A45DAC"/>
    <w:rsid w:val="00A479AF"/>
    <w:rsid w:val="00A5175E"/>
    <w:rsid w:val="00A52E08"/>
    <w:rsid w:val="00A53E46"/>
    <w:rsid w:val="00A54BCD"/>
    <w:rsid w:val="00A61BED"/>
    <w:rsid w:val="00A61C07"/>
    <w:rsid w:val="00A65FBE"/>
    <w:rsid w:val="00A67309"/>
    <w:rsid w:val="00A72218"/>
    <w:rsid w:val="00A75F24"/>
    <w:rsid w:val="00A77115"/>
    <w:rsid w:val="00A82241"/>
    <w:rsid w:val="00A82C32"/>
    <w:rsid w:val="00A8360A"/>
    <w:rsid w:val="00A85825"/>
    <w:rsid w:val="00A86450"/>
    <w:rsid w:val="00A86773"/>
    <w:rsid w:val="00A87614"/>
    <w:rsid w:val="00A8765C"/>
    <w:rsid w:val="00A9099D"/>
    <w:rsid w:val="00A93E5F"/>
    <w:rsid w:val="00A93E8C"/>
    <w:rsid w:val="00A95FCF"/>
    <w:rsid w:val="00A974F6"/>
    <w:rsid w:val="00A97828"/>
    <w:rsid w:val="00AA11BC"/>
    <w:rsid w:val="00AA211E"/>
    <w:rsid w:val="00AA384D"/>
    <w:rsid w:val="00AA4012"/>
    <w:rsid w:val="00AA6970"/>
    <w:rsid w:val="00AB17EF"/>
    <w:rsid w:val="00AB1FED"/>
    <w:rsid w:val="00AB3712"/>
    <w:rsid w:val="00AB5D0C"/>
    <w:rsid w:val="00AB6E33"/>
    <w:rsid w:val="00AB70B5"/>
    <w:rsid w:val="00AB73C7"/>
    <w:rsid w:val="00AB7540"/>
    <w:rsid w:val="00AC2585"/>
    <w:rsid w:val="00AC5B0D"/>
    <w:rsid w:val="00AC620A"/>
    <w:rsid w:val="00AC679A"/>
    <w:rsid w:val="00AD1802"/>
    <w:rsid w:val="00AD3786"/>
    <w:rsid w:val="00AD5AB1"/>
    <w:rsid w:val="00AD680B"/>
    <w:rsid w:val="00AD7220"/>
    <w:rsid w:val="00AD72D2"/>
    <w:rsid w:val="00AE10A8"/>
    <w:rsid w:val="00AE1B1E"/>
    <w:rsid w:val="00AE1EFE"/>
    <w:rsid w:val="00AE506C"/>
    <w:rsid w:val="00AE5CCC"/>
    <w:rsid w:val="00AE76E1"/>
    <w:rsid w:val="00AE7B54"/>
    <w:rsid w:val="00AF23CE"/>
    <w:rsid w:val="00AF26BD"/>
    <w:rsid w:val="00AF48DB"/>
    <w:rsid w:val="00AF52EE"/>
    <w:rsid w:val="00AF5460"/>
    <w:rsid w:val="00AF60B5"/>
    <w:rsid w:val="00AF70CE"/>
    <w:rsid w:val="00AF741E"/>
    <w:rsid w:val="00B004DC"/>
    <w:rsid w:val="00B02289"/>
    <w:rsid w:val="00B06077"/>
    <w:rsid w:val="00B10464"/>
    <w:rsid w:val="00B11958"/>
    <w:rsid w:val="00B119EB"/>
    <w:rsid w:val="00B1203D"/>
    <w:rsid w:val="00B1367F"/>
    <w:rsid w:val="00B16422"/>
    <w:rsid w:val="00B2006F"/>
    <w:rsid w:val="00B228F5"/>
    <w:rsid w:val="00B22CD4"/>
    <w:rsid w:val="00B249E3"/>
    <w:rsid w:val="00B25864"/>
    <w:rsid w:val="00B26064"/>
    <w:rsid w:val="00B260E3"/>
    <w:rsid w:val="00B26935"/>
    <w:rsid w:val="00B26EE6"/>
    <w:rsid w:val="00B3074E"/>
    <w:rsid w:val="00B30ED5"/>
    <w:rsid w:val="00B3156F"/>
    <w:rsid w:val="00B328A4"/>
    <w:rsid w:val="00B34496"/>
    <w:rsid w:val="00B43DDB"/>
    <w:rsid w:val="00B4743C"/>
    <w:rsid w:val="00B50489"/>
    <w:rsid w:val="00B506E2"/>
    <w:rsid w:val="00B52563"/>
    <w:rsid w:val="00B5402A"/>
    <w:rsid w:val="00B5431C"/>
    <w:rsid w:val="00B558F9"/>
    <w:rsid w:val="00B55F1D"/>
    <w:rsid w:val="00B57870"/>
    <w:rsid w:val="00B60309"/>
    <w:rsid w:val="00B613A1"/>
    <w:rsid w:val="00B6188B"/>
    <w:rsid w:val="00B61FC1"/>
    <w:rsid w:val="00B62EC1"/>
    <w:rsid w:val="00B6301B"/>
    <w:rsid w:val="00B63BDC"/>
    <w:rsid w:val="00B63FAC"/>
    <w:rsid w:val="00B65CBA"/>
    <w:rsid w:val="00B65F25"/>
    <w:rsid w:val="00B745FF"/>
    <w:rsid w:val="00B77660"/>
    <w:rsid w:val="00B77CFC"/>
    <w:rsid w:val="00B80813"/>
    <w:rsid w:val="00B83514"/>
    <w:rsid w:val="00B83E62"/>
    <w:rsid w:val="00B840AC"/>
    <w:rsid w:val="00B84890"/>
    <w:rsid w:val="00B849C6"/>
    <w:rsid w:val="00B8575E"/>
    <w:rsid w:val="00B86683"/>
    <w:rsid w:val="00B86A22"/>
    <w:rsid w:val="00B8707A"/>
    <w:rsid w:val="00B8797C"/>
    <w:rsid w:val="00B87AD8"/>
    <w:rsid w:val="00B91E37"/>
    <w:rsid w:val="00B9402D"/>
    <w:rsid w:val="00B940A7"/>
    <w:rsid w:val="00B95F53"/>
    <w:rsid w:val="00B96383"/>
    <w:rsid w:val="00B97CF9"/>
    <w:rsid w:val="00BA0DA9"/>
    <w:rsid w:val="00BA0EE6"/>
    <w:rsid w:val="00BA1D06"/>
    <w:rsid w:val="00BA1D7B"/>
    <w:rsid w:val="00BA1F1A"/>
    <w:rsid w:val="00BA4BE0"/>
    <w:rsid w:val="00BA4D3B"/>
    <w:rsid w:val="00BA5ACD"/>
    <w:rsid w:val="00BA645B"/>
    <w:rsid w:val="00BA7DBB"/>
    <w:rsid w:val="00BB0AEB"/>
    <w:rsid w:val="00BB0DE8"/>
    <w:rsid w:val="00BB27B8"/>
    <w:rsid w:val="00BB2E2C"/>
    <w:rsid w:val="00BB56AD"/>
    <w:rsid w:val="00BB56AE"/>
    <w:rsid w:val="00BB671A"/>
    <w:rsid w:val="00BB761D"/>
    <w:rsid w:val="00BB7C7E"/>
    <w:rsid w:val="00BC5D98"/>
    <w:rsid w:val="00BC6F2E"/>
    <w:rsid w:val="00BC7CC7"/>
    <w:rsid w:val="00BC7E82"/>
    <w:rsid w:val="00BD0DC8"/>
    <w:rsid w:val="00BD25DE"/>
    <w:rsid w:val="00BD2839"/>
    <w:rsid w:val="00BD2CCA"/>
    <w:rsid w:val="00BD2F2D"/>
    <w:rsid w:val="00BD5D9F"/>
    <w:rsid w:val="00BD7653"/>
    <w:rsid w:val="00BD7AC7"/>
    <w:rsid w:val="00BE075F"/>
    <w:rsid w:val="00BE2110"/>
    <w:rsid w:val="00BE2E41"/>
    <w:rsid w:val="00BE45EB"/>
    <w:rsid w:val="00BE594C"/>
    <w:rsid w:val="00BE5EDD"/>
    <w:rsid w:val="00BE6AAA"/>
    <w:rsid w:val="00BF0493"/>
    <w:rsid w:val="00BF515E"/>
    <w:rsid w:val="00C0297E"/>
    <w:rsid w:val="00C056E8"/>
    <w:rsid w:val="00C1008E"/>
    <w:rsid w:val="00C14B31"/>
    <w:rsid w:val="00C21AF9"/>
    <w:rsid w:val="00C22B26"/>
    <w:rsid w:val="00C23E99"/>
    <w:rsid w:val="00C27FAD"/>
    <w:rsid w:val="00C30738"/>
    <w:rsid w:val="00C32EEA"/>
    <w:rsid w:val="00C35D22"/>
    <w:rsid w:val="00C41F18"/>
    <w:rsid w:val="00C441EE"/>
    <w:rsid w:val="00C44EA0"/>
    <w:rsid w:val="00C44F6D"/>
    <w:rsid w:val="00C4586C"/>
    <w:rsid w:val="00C46793"/>
    <w:rsid w:val="00C52B57"/>
    <w:rsid w:val="00C537FD"/>
    <w:rsid w:val="00C5666D"/>
    <w:rsid w:val="00C566BC"/>
    <w:rsid w:val="00C56CCE"/>
    <w:rsid w:val="00C60BCF"/>
    <w:rsid w:val="00C61AFD"/>
    <w:rsid w:val="00C61BB4"/>
    <w:rsid w:val="00C6767D"/>
    <w:rsid w:val="00C70943"/>
    <w:rsid w:val="00C72302"/>
    <w:rsid w:val="00C72B2E"/>
    <w:rsid w:val="00C72B4F"/>
    <w:rsid w:val="00C74A6C"/>
    <w:rsid w:val="00C76E9C"/>
    <w:rsid w:val="00C770E0"/>
    <w:rsid w:val="00C801BE"/>
    <w:rsid w:val="00C81C17"/>
    <w:rsid w:val="00C82DCF"/>
    <w:rsid w:val="00C838FB"/>
    <w:rsid w:val="00C83BF3"/>
    <w:rsid w:val="00C83C31"/>
    <w:rsid w:val="00C84676"/>
    <w:rsid w:val="00C85265"/>
    <w:rsid w:val="00C87503"/>
    <w:rsid w:val="00C87CD5"/>
    <w:rsid w:val="00C91239"/>
    <w:rsid w:val="00C93B9A"/>
    <w:rsid w:val="00C94833"/>
    <w:rsid w:val="00C94B67"/>
    <w:rsid w:val="00C94C48"/>
    <w:rsid w:val="00C957C0"/>
    <w:rsid w:val="00CA138D"/>
    <w:rsid w:val="00CA1D2D"/>
    <w:rsid w:val="00CA262A"/>
    <w:rsid w:val="00CA31EA"/>
    <w:rsid w:val="00CA410A"/>
    <w:rsid w:val="00CA42D4"/>
    <w:rsid w:val="00CA46FA"/>
    <w:rsid w:val="00CA49B0"/>
    <w:rsid w:val="00CA6239"/>
    <w:rsid w:val="00CA6E99"/>
    <w:rsid w:val="00CA7E10"/>
    <w:rsid w:val="00CB01CB"/>
    <w:rsid w:val="00CB08B8"/>
    <w:rsid w:val="00CB2F96"/>
    <w:rsid w:val="00CB50DF"/>
    <w:rsid w:val="00CB560A"/>
    <w:rsid w:val="00CB7448"/>
    <w:rsid w:val="00CB798A"/>
    <w:rsid w:val="00CC2F34"/>
    <w:rsid w:val="00CC4534"/>
    <w:rsid w:val="00CC7E0A"/>
    <w:rsid w:val="00CD0935"/>
    <w:rsid w:val="00CD5E42"/>
    <w:rsid w:val="00CD6A65"/>
    <w:rsid w:val="00CD6F49"/>
    <w:rsid w:val="00CE1017"/>
    <w:rsid w:val="00CE16E4"/>
    <w:rsid w:val="00CE21CC"/>
    <w:rsid w:val="00CE36AC"/>
    <w:rsid w:val="00CE56EB"/>
    <w:rsid w:val="00CE6B2C"/>
    <w:rsid w:val="00CE7D8B"/>
    <w:rsid w:val="00CE7EBA"/>
    <w:rsid w:val="00CF0E29"/>
    <w:rsid w:val="00CF18F1"/>
    <w:rsid w:val="00CF23FD"/>
    <w:rsid w:val="00CF3314"/>
    <w:rsid w:val="00CF7CBB"/>
    <w:rsid w:val="00D00FCD"/>
    <w:rsid w:val="00D0116C"/>
    <w:rsid w:val="00D02929"/>
    <w:rsid w:val="00D030A5"/>
    <w:rsid w:val="00D03F01"/>
    <w:rsid w:val="00D12C43"/>
    <w:rsid w:val="00D15072"/>
    <w:rsid w:val="00D17897"/>
    <w:rsid w:val="00D179B9"/>
    <w:rsid w:val="00D2022B"/>
    <w:rsid w:val="00D20A72"/>
    <w:rsid w:val="00D20D79"/>
    <w:rsid w:val="00D23080"/>
    <w:rsid w:val="00D2342C"/>
    <w:rsid w:val="00D2367B"/>
    <w:rsid w:val="00D238B3"/>
    <w:rsid w:val="00D2486A"/>
    <w:rsid w:val="00D24F75"/>
    <w:rsid w:val="00D25398"/>
    <w:rsid w:val="00D3006E"/>
    <w:rsid w:val="00D33B55"/>
    <w:rsid w:val="00D34547"/>
    <w:rsid w:val="00D34BD8"/>
    <w:rsid w:val="00D34EFE"/>
    <w:rsid w:val="00D36501"/>
    <w:rsid w:val="00D374E5"/>
    <w:rsid w:val="00D37500"/>
    <w:rsid w:val="00D40069"/>
    <w:rsid w:val="00D4098D"/>
    <w:rsid w:val="00D43885"/>
    <w:rsid w:val="00D43D45"/>
    <w:rsid w:val="00D44002"/>
    <w:rsid w:val="00D47056"/>
    <w:rsid w:val="00D50CD7"/>
    <w:rsid w:val="00D50DB3"/>
    <w:rsid w:val="00D51FFD"/>
    <w:rsid w:val="00D54954"/>
    <w:rsid w:val="00D54E34"/>
    <w:rsid w:val="00D559E1"/>
    <w:rsid w:val="00D607CE"/>
    <w:rsid w:val="00D6217E"/>
    <w:rsid w:val="00D627F7"/>
    <w:rsid w:val="00D6344B"/>
    <w:rsid w:val="00D65688"/>
    <w:rsid w:val="00D66854"/>
    <w:rsid w:val="00D679A3"/>
    <w:rsid w:val="00D71855"/>
    <w:rsid w:val="00D7194E"/>
    <w:rsid w:val="00D71D48"/>
    <w:rsid w:val="00D7719D"/>
    <w:rsid w:val="00D77EF6"/>
    <w:rsid w:val="00D80705"/>
    <w:rsid w:val="00D826A8"/>
    <w:rsid w:val="00D91049"/>
    <w:rsid w:val="00D937A1"/>
    <w:rsid w:val="00D962F3"/>
    <w:rsid w:val="00D965A7"/>
    <w:rsid w:val="00D97557"/>
    <w:rsid w:val="00D97E24"/>
    <w:rsid w:val="00DA182A"/>
    <w:rsid w:val="00DA331A"/>
    <w:rsid w:val="00DA3CB8"/>
    <w:rsid w:val="00DA5F53"/>
    <w:rsid w:val="00DA62B5"/>
    <w:rsid w:val="00DA71CF"/>
    <w:rsid w:val="00DA78D5"/>
    <w:rsid w:val="00DB5B35"/>
    <w:rsid w:val="00DB7B18"/>
    <w:rsid w:val="00DC0228"/>
    <w:rsid w:val="00DC267F"/>
    <w:rsid w:val="00DC3725"/>
    <w:rsid w:val="00DC41E6"/>
    <w:rsid w:val="00DC547C"/>
    <w:rsid w:val="00DC5C1B"/>
    <w:rsid w:val="00DC634F"/>
    <w:rsid w:val="00DC65C2"/>
    <w:rsid w:val="00DD161F"/>
    <w:rsid w:val="00DD1D3E"/>
    <w:rsid w:val="00DD2835"/>
    <w:rsid w:val="00DD28A6"/>
    <w:rsid w:val="00DD45FD"/>
    <w:rsid w:val="00DD520C"/>
    <w:rsid w:val="00DD5722"/>
    <w:rsid w:val="00DD5EF3"/>
    <w:rsid w:val="00DD7A80"/>
    <w:rsid w:val="00DE0AFE"/>
    <w:rsid w:val="00DE2C1A"/>
    <w:rsid w:val="00DE2FCC"/>
    <w:rsid w:val="00DE456A"/>
    <w:rsid w:val="00DE4B34"/>
    <w:rsid w:val="00DE5DFD"/>
    <w:rsid w:val="00DE7094"/>
    <w:rsid w:val="00DF1F5E"/>
    <w:rsid w:val="00DF50B9"/>
    <w:rsid w:val="00DF5A9C"/>
    <w:rsid w:val="00DF6609"/>
    <w:rsid w:val="00DF7A95"/>
    <w:rsid w:val="00E108D9"/>
    <w:rsid w:val="00E10B20"/>
    <w:rsid w:val="00E11432"/>
    <w:rsid w:val="00E1195E"/>
    <w:rsid w:val="00E12F62"/>
    <w:rsid w:val="00E14337"/>
    <w:rsid w:val="00E14CE0"/>
    <w:rsid w:val="00E173C0"/>
    <w:rsid w:val="00E24A3B"/>
    <w:rsid w:val="00E2603F"/>
    <w:rsid w:val="00E2606D"/>
    <w:rsid w:val="00E27024"/>
    <w:rsid w:val="00E3222C"/>
    <w:rsid w:val="00E32F39"/>
    <w:rsid w:val="00E35E12"/>
    <w:rsid w:val="00E37E4B"/>
    <w:rsid w:val="00E40598"/>
    <w:rsid w:val="00E42FE3"/>
    <w:rsid w:val="00E4519B"/>
    <w:rsid w:val="00E45A82"/>
    <w:rsid w:val="00E473A6"/>
    <w:rsid w:val="00E5092C"/>
    <w:rsid w:val="00E51CF9"/>
    <w:rsid w:val="00E53955"/>
    <w:rsid w:val="00E5448E"/>
    <w:rsid w:val="00E55E7B"/>
    <w:rsid w:val="00E56B9C"/>
    <w:rsid w:val="00E604DB"/>
    <w:rsid w:val="00E6090E"/>
    <w:rsid w:val="00E63F36"/>
    <w:rsid w:val="00E641C5"/>
    <w:rsid w:val="00E654D3"/>
    <w:rsid w:val="00E70685"/>
    <w:rsid w:val="00E70D5B"/>
    <w:rsid w:val="00E70E0E"/>
    <w:rsid w:val="00E72B58"/>
    <w:rsid w:val="00E735B9"/>
    <w:rsid w:val="00E809DF"/>
    <w:rsid w:val="00E8344F"/>
    <w:rsid w:val="00E8707E"/>
    <w:rsid w:val="00E87E4B"/>
    <w:rsid w:val="00E94FAC"/>
    <w:rsid w:val="00E96951"/>
    <w:rsid w:val="00EA27ED"/>
    <w:rsid w:val="00EA493B"/>
    <w:rsid w:val="00EA7F4B"/>
    <w:rsid w:val="00EB10B1"/>
    <w:rsid w:val="00EB14F1"/>
    <w:rsid w:val="00EB1C48"/>
    <w:rsid w:val="00EB347E"/>
    <w:rsid w:val="00EB3B93"/>
    <w:rsid w:val="00EB4312"/>
    <w:rsid w:val="00EB5181"/>
    <w:rsid w:val="00EB6592"/>
    <w:rsid w:val="00EB68C9"/>
    <w:rsid w:val="00EB71A3"/>
    <w:rsid w:val="00EC0126"/>
    <w:rsid w:val="00EC234A"/>
    <w:rsid w:val="00EC272B"/>
    <w:rsid w:val="00EC4028"/>
    <w:rsid w:val="00EC6A2B"/>
    <w:rsid w:val="00ED08C5"/>
    <w:rsid w:val="00ED11BF"/>
    <w:rsid w:val="00ED16EC"/>
    <w:rsid w:val="00ED4289"/>
    <w:rsid w:val="00ED542C"/>
    <w:rsid w:val="00ED751B"/>
    <w:rsid w:val="00EE0292"/>
    <w:rsid w:val="00EE066B"/>
    <w:rsid w:val="00EE0D1F"/>
    <w:rsid w:val="00EE1AC1"/>
    <w:rsid w:val="00EE3E0A"/>
    <w:rsid w:val="00EE5467"/>
    <w:rsid w:val="00EE5E98"/>
    <w:rsid w:val="00EE5FFF"/>
    <w:rsid w:val="00EF2046"/>
    <w:rsid w:val="00EF51E3"/>
    <w:rsid w:val="00EF5A93"/>
    <w:rsid w:val="00EF719C"/>
    <w:rsid w:val="00F01010"/>
    <w:rsid w:val="00F02449"/>
    <w:rsid w:val="00F026FD"/>
    <w:rsid w:val="00F028AC"/>
    <w:rsid w:val="00F037F3"/>
    <w:rsid w:val="00F050D2"/>
    <w:rsid w:val="00F05562"/>
    <w:rsid w:val="00F05BA0"/>
    <w:rsid w:val="00F074CD"/>
    <w:rsid w:val="00F1023C"/>
    <w:rsid w:val="00F10858"/>
    <w:rsid w:val="00F10BC5"/>
    <w:rsid w:val="00F1169C"/>
    <w:rsid w:val="00F12D18"/>
    <w:rsid w:val="00F1516A"/>
    <w:rsid w:val="00F24194"/>
    <w:rsid w:val="00F321AB"/>
    <w:rsid w:val="00F36231"/>
    <w:rsid w:val="00F37811"/>
    <w:rsid w:val="00F40B04"/>
    <w:rsid w:val="00F43435"/>
    <w:rsid w:val="00F457F1"/>
    <w:rsid w:val="00F47240"/>
    <w:rsid w:val="00F52FDB"/>
    <w:rsid w:val="00F575C8"/>
    <w:rsid w:val="00F5772A"/>
    <w:rsid w:val="00F579FF"/>
    <w:rsid w:val="00F609B3"/>
    <w:rsid w:val="00F618D2"/>
    <w:rsid w:val="00F6291B"/>
    <w:rsid w:val="00F63B32"/>
    <w:rsid w:val="00F66333"/>
    <w:rsid w:val="00F70061"/>
    <w:rsid w:val="00F73583"/>
    <w:rsid w:val="00F7443B"/>
    <w:rsid w:val="00F75D6A"/>
    <w:rsid w:val="00F766A4"/>
    <w:rsid w:val="00F81E3D"/>
    <w:rsid w:val="00F825DF"/>
    <w:rsid w:val="00F82D5D"/>
    <w:rsid w:val="00F839AC"/>
    <w:rsid w:val="00F8441E"/>
    <w:rsid w:val="00F84662"/>
    <w:rsid w:val="00F877B4"/>
    <w:rsid w:val="00F91E9E"/>
    <w:rsid w:val="00F91EEE"/>
    <w:rsid w:val="00F922F7"/>
    <w:rsid w:val="00F934E1"/>
    <w:rsid w:val="00F93C48"/>
    <w:rsid w:val="00F94592"/>
    <w:rsid w:val="00F94A12"/>
    <w:rsid w:val="00F94A8A"/>
    <w:rsid w:val="00F97F3D"/>
    <w:rsid w:val="00FA2ABA"/>
    <w:rsid w:val="00FA306E"/>
    <w:rsid w:val="00FA4A28"/>
    <w:rsid w:val="00FA6921"/>
    <w:rsid w:val="00FA7211"/>
    <w:rsid w:val="00FB0688"/>
    <w:rsid w:val="00FB07E9"/>
    <w:rsid w:val="00FB0BE7"/>
    <w:rsid w:val="00FB144B"/>
    <w:rsid w:val="00FB3244"/>
    <w:rsid w:val="00FB36D4"/>
    <w:rsid w:val="00FB6749"/>
    <w:rsid w:val="00FB71ED"/>
    <w:rsid w:val="00FC2DA8"/>
    <w:rsid w:val="00FC4047"/>
    <w:rsid w:val="00FC49AC"/>
    <w:rsid w:val="00FC6F5F"/>
    <w:rsid w:val="00FC6FCE"/>
    <w:rsid w:val="00FD262D"/>
    <w:rsid w:val="00FD3300"/>
    <w:rsid w:val="00FD3911"/>
    <w:rsid w:val="00FD3B4A"/>
    <w:rsid w:val="00FD44BE"/>
    <w:rsid w:val="00FD5215"/>
    <w:rsid w:val="00FD5F7F"/>
    <w:rsid w:val="00FD6E65"/>
    <w:rsid w:val="00FE1A9F"/>
    <w:rsid w:val="00FE52B9"/>
    <w:rsid w:val="00FE7942"/>
    <w:rsid w:val="00FE7971"/>
    <w:rsid w:val="00FF2B3F"/>
    <w:rsid w:val="00FF5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6FE74"/>
  <w15:chartTrackingRefBased/>
  <w15:docId w15:val="{5AC5222D-466A-4974-BB75-C8BD1333B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6451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451E5"/>
    <w:pPr>
      <w:pBdr>
        <w:top w:val="none" w:sz="0" w:space="0" w:color="auto"/>
      </w:pBdr>
      <w:spacing w:before="180"/>
      <w:outlineLvl w:val="1"/>
    </w:pPr>
    <w:rPr>
      <w:sz w:val="32"/>
    </w:rPr>
  </w:style>
  <w:style w:type="paragraph" w:styleId="Heading3">
    <w:name w:val="heading 3"/>
    <w:basedOn w:val="Heading2"/>
    <w:next w:val="Normal"/>
    <w:qFormat/>
    <w:rsid w:val="006451E5"/>
    <w:pPr>
      <w:spacing w:before="120"/>
      <w:outlineLvl w:val="2"/>
    </w:pPr>
    <w:rPr>
      <w:sz w:val="28"/>
    </w:r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ind w:left="0" w:firstLine="0"/>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link w:val="TAHCar"/>
    <w:rsid w:val="006451E5"/>
    <w:rPr>
      <w:b/>
    </w:rPr>
  </w:style>
  <w:style w:type="paragraph" w:customStyle="1" w:styleId="TAC">
    <w:name w:val="TAC"/>
    <w:basedOn w:val="TAL"/>
    <w:link w:val="TACChar"/>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link w:val="TALCar"/>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semiHidden/>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semiHidden/>
    <w:unhideWhenUsed/>
    <w:rsid w:val="000E24EF"/>
  </w:style>
  <w:style w:type="character" w:customStyle="1" w:styleId="CommentTextChar">
    <w:name w:val="Comment Text Char"/>
    <w:link w:val="CommentText"/>
    <w:uiPriority w:val="99"/>
    <w:semiHidden/>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customStyle="1" w:styleId="PlainTable31">
    <w:name w:val="Plain Table 31"/>
    <w:uiPriority w:val="19"/>
    <w:qFormat/>
    <w:rsid w:val="008A517D"/>
    <w:rPr>
      <w:i/>
      <w:iCs/>
      <w:color w:val="404040"/>
    </w:rPr>
  </w:style>
  <w:style w:type="paragraph" w:customStyle="1" w:styleId="ColorfulShading-Accent11">
    <w:name w:val="Colorful Shading - Accent 11"/>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C6F5F"/>
    <w:rPr>
      <w:rFonts w:ascii="Calibri" w:eastAsia="Calibri" w:hAnsi="Calibri" w:cs="Arial"/>
      <w:b/>
      <w:sz w:val="22"/>
      <w:szCs w:val="22"/>
    </w:rPr>
  </w:style>
  <w:style w:type="paragraph" w:styleId="Caption">
    <w:name w:val="caption"/>
    <w:aliases w:val="cap,cap Char,Caption Char,Caption Char1 Char,cap Char Char1,Caption Char Char1 Char,cap Char2,题注"/>
    <w:basedOn w:val="Normal"/>
    <w:next w:val="Normal"/>
    <w:link w:val="CaptionChar1"/>
    <w:uiPriority w:val="35"/>
    <w:qFormat/>
    <w:rsid w:val="00FC6F5F"/>
    <w:pPr>
      <w:overflowPunct/>
      <w:autoSpaceDE/>
      <w:autoSpaceDN/>
      <w:adjustRightInd/>
      <w:spacing w:before="120" w:after="120" w:line="256" w:lineRule="auto"/>
      <w:textAlignment w:val="auto"/>
    </w:pPr>
    <w:rPr>
      <w:rFonts w:ascii="Calibri" w:eastAsia="Calibri" w:hAnsi="Calibri" w:cs="Arial"/>
      <w:b/>
      <w:sz w:val="22"/>
      <w:szCs w:val="22"/>
      <w:lang w:val="en-US" w:eastAsia="en-US"/>
    </w:rPr>
  </w:style>
  <w:style w:type="character" w:styleId="UnresolvedMention">
    <w:name w:val="Unresolved Mention"/>
    <w:uiPriority w:val="99"/>
    <w:semiHidden/>
    <w:unhideWhenUsed/>
    <w:rsid w:val="009B2C25"/>
    <w:rPr>
      <w:color w:val="605E5C"/>
      <w:shd w:val="clear" w:color="auto" w:fill="E1DFDD"/>
    </w:rPr>
  </w:style>
  <w:style w:type="table" w:styleId="GridTable2">
    <w:name w:val="Grid Table 2"/>
    <w:basedOn w:val="TableNormal"/>
    <w:uiPriority w:val="47"/>
    <w:rsid w:val="009B5A70"/>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
    <w:name w:val="Grid Table 6 Colorful"/>
    <w:basedOn w:val="TableNormal"/>
    <w:uiPriority w:val="51"/>
    <w:rsid w:val="009B5A7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PlainTable1">
    <w:name w:val="Plain Table 1"/>
    <w:basedOn w:val="TableNormal"/>
    <w:uiPriority w:val="41"/>
    <w:rsid w:val="00B1642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B628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B628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4B6288"/>
    <w:tblPr>
      <w:tblStyleRowBandSize w:val="1"/>
      <w:tblStyleColBandSize w:val="1"/>
    </w:tblPr>
    <w:tblStylePr w:type="firstRow">
      <w:rPr>
        <w:rFonts w:ascii="New York" w:eastAsia="Times New Roman" w:hAnsi="New York" w:cs="Times New Roman"/>
        <w:i/>
        <w:iCs/>
        <w:sz w:val="26"/>
      </w:rPr>
      <w:tblPr/>
      <w:tcPr>
        <w:tcBorders>
          <w:bottom w:val="single" w:sz="4" w:space="0" w:color="7F7F7F"/>
        </w:tcBorders>
        <w:shd w:val="clear" w:color="auto" w:fill="FFFFFF"/>
      </w:tcPr>
    </w:tblStylePr>
    <w:tblStylePr w:type="lastRow">
      <w:rPr>
        <w:rFonts w:ascii="New York" w:eastAsia="Times New Roman" w:hAnsi="New York" w:cs="Times New Roman"/>
        <w:i/>
        <w:iCs/>
        <w:sz w:val="26"/>
      </w:rPr>
      <w:tblPr/>
      <w:tcPr>
        <w:tcBorders>
          <w:top w:val="single" w:sz="4" w:space="0" w:color="7F7F7F"/>
        </w:tcBorders>
        <w:shd w:val="clear" w:color="auto" w:fill="FFFFFF"/>
      </w:tcPr>
    </w:tblStylePr>
    <w:tblStylePr w:type="firstCol">
      <w:pPr>
        <w:jc w:val="right"/>
      </w:pPr>
      <w:rPr>
        <w:rFonts w:ascii="New York" w:eastAsia="Times New Roman" w:hAnsi="New York" w:cs="Times New Roman"/>
        <w:i/>
        <w:iCs/>
        <w:sz w:val="26"/>
      </w:rPr>
      <w:tblPr/>
      <w:tcPr>
        <w:tcBorders>
          <w:right w:val="single" w:sz="4" w:space="0" w:color="7F7F7F"/>
        </w:tcBorders>
        <w:shd w:val="clear" w:color="auto" w:fill="FFFFFF"/>
      </w:tcPr>
    </w:tblStylePr>
    <w:tblStylePr w:type="lastCol">
      <w:rPr>
        <w:rFonts w:ascii="New York" w:eastAsia="Times New Roman" w:hAnsi="New York"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3">
    <w:name w:val="Grid Table 1 Light Accent 3"/>
    <w:basedOn w:val="TableNormal"/>
    <w:uiPriority w:val="46"/>
    <w:rsid w:val="004B628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4B628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4B628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EndnoteText">
    <w:name w:val="endnote text"/>
    <w:basedOn w:val="Normal"/>
    <w:link w:val="EndnoteTextChar"/>
    <w:uiPriority w:val="99"/>
    <w:semiHidden/>
    <w:unhideWhenUsed/>
    <w:rsid w:val="00B06077"/>
  </w:style>
  <w:style w:type="character" w:customStyle="1" w:styleId="EndnoteTextChar">
    <w:name w:val="Endnote Text Char"/>
    <w:link w:val="EndnoteText"/>
    <w:uiPriority w:val="99"/>
    <w:semiHidden/>
    <w:rsid w:val="00B06077"/>
    <w:rPr>
      <w:rFonts w:ascii="Times New Roman" w:hAnsi="Times New Roman"/>
      <w:lang w:val="en-GB" w:eastAsia="en-GB"/>
    </w:rPr>
  </w:style>
  <w:style w:type="character" w:styleId="EndnoteReference">
    <w:name w:val="endnote reference"/>
    <w:uiPriority w:val="99"/>
    <w:semiHidden/>
    <w:unhideWhenUsed/>
    <w:rsid w:val="00B06077"/>
    <w:rPr>
      <w:vertAlign w:val="superscript"/>
    </w:rPr>
  </w:style>
  <w:style w:type="paragraph" w:styleId="ListParagraph">
    <w:name w:val="List Paragraph"/>
    <w:basedOn w:val="Normal"/>
    <w:uiPriority w:val="34"/>
    <w:qFormat/>
    <w:rsid w:val="0094102B"/>
    <w:pPr>
      <w:overflowPunct/>
      <w:autoSpaceDE/>
      <w:autoSpaceDN/>
      <w:adjustRightInd/>
      <w:spacing w:after="160" w:line="259" w:lineRule="auto"/>
      <w:ind w:left="720"/>
      <w:contextualSpacing/>
      <w:textAlignment w:val="auto"/>
    </w:pPr>
    <w:rPr>
      <w:rFonts w:ascii="Calibri" w:eastAsia="Calibri" w:hAnsi="Calibri" w:cs="Arial"/>
      <w:sz w:val="22"/>
      <w:szCs w:val="22"/>
      <w:lang w:val="en-US" w:eastAsia="en-US"/>
    </w:rPr>
  </w:style>
  <w:style w:type="character" w:styleId="PlaceholderText">
    <w:name w:val="Placeholder Text"/>
    <w:basedOn w:val="DefaultParagraphFont"/>
    <w:uiPriority w:val="99"/>
    <w:semiHidden/>
    <w:rsid w:val="001A30A6"/>
    <w:rPr>
      <w:color w:val="808080"/>
    </w:rPr>
  </w:style>
  <w:style w:type="character" w:customStyle="1" w:styleId="TALCar">
    <w:name w:val="TAL Car"/>
    <w:link w:val="TAL"/>
    <w:rsid w:val="007E26C2"/>
    <w:rPr>
      <w:rFonts w:ascii="Arial" w:hAnsi="Arial"/>
      <w:sz w:val="18"/>
      <w:lang w:val="en-GB" w:eastAsia="en-GB"/>
    </w:rPr>
  </w:style>
  <w:style w:type="character" w:customStyle="1" w:styleId="TAHCar">
    <w:name w:val="TAH Car"/>
    <w:link w:val="TAH"/>
    <w:rsid w:val="007E26C2"/>
    <w:rPr>
      <w:rFonts w:ascii="Arial" w:hAnsi="Arial"/>
      <w:b/>
      <w:sz w:val="18"/>
      <w:lang w:val="en-GB" w:eastAsia="en-GB"/>
    </w:rPr>
  </w:style>
  <w:style w:type="character" w:customStyle="1" w:styleId="TACChar">
    <w:name w:val="TAC Char"/>
    <w:link w:val="TAC"/>
    <w:rsid w:val="007E26C2"/>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149327">
      <w:bodyDiv w:val="1"/>
      <w:marLeft w:val="0"/>
      <w:marRight w:val="0"/>
      <w:marTop w:val="0"/>
      <w:marBottom w:val="0"/>
      <w:divBdr>
        <w:top w:val="none" w:sz="0" w:space="0" w:color="auto"/>
        <w:left w:val="none" w:sz="0" w:space="0" w:color="auto"/>
        <w:bottom w:val="none" w:sz="0" w:space="0" w:color="auto"/>
        <w:right w:val="none" w:sz="0" w:space="0" w:color="auto"/>
      </w:divBdr>
    </w:div>
    <w:div w:id="163398672">
      <w:bodyDiv w:val="1"/>
      <w:marLeft w:val="0"/>
      <w:marRight w:val="0"/>
      <w:marTop w:val="0"/>
      <w:marBottom w:val="0"/>
      <w:divBdr>
        <w:top w:val="none" w:sz="0" w:space="0" w:color="auto"/>
        <w:left w:val="none" w:sz="0" w:space="0" w:color="auto"/>
        <w:bottom w:val="none" w:sz="0" w:space="0" w:color="auto"/>
        <w:right w:val="none" w:sz="0" w:space="0" w:color="auto"/>
      </w:divBdr>
    </w:div>
    <w:div w:id="197086984">
      <w:bodyDiv w:val="1"/>
      <w:marLeft w:val="0"/>
      <w:marRight w:val="0"/>
      <w:marTop w:val="0"/>
      <w:marBottom w:val="0"/>
      <w:divBdr>
        <w:top w:val="none" w:sz="0" w:space="0" w:color="auto"/>
        <w:left w:val="none" w:sz="0" w:space="0" w:color="auto"/>
        <w:bottom w:val="none" w:sz="0" w:space="0" w:color="auto"/>
        <w:right w:val="none" w:sz="0" w:space="0" w:color="auto"/>
      </w:divBdr>
    </w:div>
    <w:div w:id="252444702">
      <w:bodyDiv w:val="1"/>
      <w:marLeft w:val="0"/>
      <w:marRight w:val="0"/>
      <w:marTop w:val="0"/>
      <w:marBottom w:val="0"/>
      <w:divBdr>
        <w:top w:val="none" w:sz="0" w:space="0" w:color="auto"/>
        <w:left w:val="none" w:sz="0" w:space="0" w:color="auto"/>
        <w:bottom w:val="none" w:sz="0" w:space="0" w:color="auto"/>
        <w:right w:val="none" w:sz="0" w:space="0" w:color="auto"/>
      </w:divBdr>
    </w:div>
    <w:div w:id="281226194">
      <w:bodyDiv w:val="1"/>
      <w:marLeft w:val="0"/>
      <w:marRight w:val="0"/>
      <w:marTop w:val="0"/>
      <w:marBottom w:val="0"/>
      <w:divBdr>
        <w:top w:val="none" w:sz="0" w:space="0" w:color="auto"/>
        <w:left w:val="none" w:sz="0" w:space="0" w:color="auto"/>
        <w:bottom w:val="none" w:sz="0" w:space="0" w:color="auto"/>
        <w:right w:val="none" w:sz="0" w:space="0" w:color="auto"/>
      </w:divBdr>
      <w:divsChild>
        <w:div w:id="385378596">
          <w:marLeft w:val="403"/>
          <w:marRight w:val="0"/>
          <w:marTop w:val="96"/>
          <w:marBottom w:val="0"/>
          <w:divBdr>
            <w:top w:val="none" w:sz="0" w:space="0" w:color="auto"/>
            <w:left w:val="none" w:sz="0" w:space="0" w:color="auto"/>
            <w:bottom w:val="none" w:sz="0" w:space="0" w:color="auto"/>
            <w:right w:val="none" w:sz="0" w:space="0" w:color="auto"/>
          </w:divBdr>
        </w:div>
        <w:div w:id="888030703">
          <w:marLeft w:val="403"/>
          <w:marRight w:val="0"/>
          <w:marTop w:val="96"/>
          <w:marBottom w:val="0"/>
          <w:divBdr>
            <w:top w:val="none" w:sz="0" w:space="0" w:color="auto"/>
            <w:left w:val="none" w:sz="0" w:space="0" w:color="auto"/>
            <w:bottom w:val="none" w:sz="0" w:space="0" w:color="auto"/>
            <w:right w:val="none" w:sz="0" w:space="0" w:color="auto"/>
          </w:divBdr>
        </w:div>
        <w:div w:id="1282609334">
          <w:marLeft w:val="878"/>
          <w:marRight w:val="0"/>
          <w:marTop w:val="77"/>
          <w:marBottom w:val="0"/>
          <w:divBdr>
            <w:top w:val="none" w:sz="0" w:space="0" w:color="auto"/>
            <w:left w:val="none" w:sz="0" w:space="0" w:color="auto"/>
            <w:bottom w:val="none" w:sz="0" w:space="0" w:color="auto"/>
            <w:right w:val="none" w:sz="0" w:space="0" w:color="auto"/>
          </w:divBdr>
        </w:div>
        <w:div w:id="1643998277">
          <w:marLeft w:val="878"/>
          <w:marRight w:val="0"/>
          <w:marTop w:val="77"/>
          <w:marBottom w:val="0"/>
          <w:divBdr>
            <w:top w:val="none" w:sz="0" w:space="0" w:color="auto"/>
            <w:left w:val="none" w:sz="0" w:space="0" w:color="auto"/>
            <w:bottom w:val="none" w:sz="0" w:space="0" w:color="auto"/>
            <w:right w:val="none" w:sz="0" w:space="0" w:color="auto"/>
          </w:divBdr>
        </w:div>
        <w:div w:id="1691681360">
          <w:marLeft w:val="878"/>
          <w:marRight w:val="0"/>
          <w:marTop w:val="77"/>
          <w:marBottom w:val="0"/>
          <w:divBdr>
            <w:top w:val="none" w:sz="0" w:space="0" w:color="auto"/>
            <w:left w:val="none" w:sz="0" w:space="0" w:color="auto"/>
            <w:bottom w:val="none" w:sz="0" w:space="0" w:color="auto"/>
            <w:right w:val="none" w:sz="0" w:space="0" w:color="auto"/>
          </w:divBdr>
        </w:div>
      </w:divsChild>
    </w:div>
    <w:div w:id="385419974">
      <w:bodyDiv w:val="1"/>
      <w:marLeft w:val="0"/>
      <w:marRight w:val="0"/>
      <w:marTop w:val="0"/>
      <w:marBottom w:val="0"/>
      <w:divBdr>
        <w:top w:val="none" w:sz="0" w:space="0" w:color="auto"/>
        <w:left w:val="none" w:sz="0" w:space="0" w:color="auto"/>
        <w:bottom w:val="none" w:sz="0" w:space="0" w:color="auto"/>
        <w:right w:val="none" w:sz="0" w:space="0" w:color="auto"/>
      </w:divBdr>
    </w:div>
    <w:div w:id="436678912">
      <w:bodyDiv w:val="1"/>
      <w:marLeft w:val="0"/>
      <w:marRight w:val="0"/>
      <w:marTop w:val="0"/>
      <w:marBottom w:val="0"/>
      <w:divBdr>
        <w:top w:val="none" w:sz="0" w:space="0" w:color="auto"/>
        <w:left w:val="none" w:sz="0" w:space="0" w:color="auto"/>
        <w:bottom w:val="none" w:sz="0" w:space="0" w:color="auto"/>
        <w:right w:val="none" w:sz="0" w:space="0" w:color="auto"/>
      </w:divBdr>
    </w:div>
    <w:div w:id="522671806">
      <w:bodyDiv w:val="1"/>
      <w:marLeft w:val="0"/>
      <w:marRight w:val="0"/>
      <w:marTop w:val="0"/>
      <w:marBottom w:val="0"/>
      <w:divBdr>
        <w:top w:val="none" w:sz="0" w:space="0" w:color="auto"/>
        <w:left w:val="none" w:sz="0" w:space="0" w:color="auto"/>
        <w:bottom w:val="none" w:sz="0" w:space="0" w:color="auto"/>
        <w:right w:val="none" w:sz="0" w:space="0" w:color="auto"/>
      </w:divBdr>
    </w:div>
    <w:div w:id="532770527">
      <w:bodyDiv w:val="1"/>
      <w:marLeft w:val="0"/>
      <w:marRight w:val="0"/>
      <w:marTop w:val="0"/>
      <w:marBottom w:val="0"/>
      <w:divBdr>
        <w:top w:val="none" w:sz="0" w:space="0" w:color="auto"/>
        <w:left w:val="none" w:sz="0" w:space="0" w:color="auto"/>
        <w:bottom w:val="none" w:sz="0" w:space="0" w:color="auto"/>
        <w:right w:val="none" w:sz="0" w:space="0" w:color="auto"/>
      </w:divBdr>
    </w:div>
    <w:div w:id="591084456">
      <w:bodyDiv w:val="1"/>
      <w:marLeft w:val="0"/>
      <w:marRight w:val="0"/>
      <w:marTop w:val="0"/>
      <w:marBottom w:val="0"/>
      <w:divBdr>
        <w:top w:val="none" w:sz="0" w:space="0" w:color="auto"/>
        <w:left w:val="none" w:sz="0" w:space="0" w:color="auto"/>
        <w:bottom w:val="none" w:sz="0" w:space="0" w:color="auto"/>
        <w:right w:val="none" w:sz="0" w:space="0" w:color="auto"/>
      </w:divBdr>
      <w:divsChild>
        <w:div w:id="31544009">
          <w:marLeft w:val="878"/>
          <w:marRight w:val="0"/>
          <w:marTop w:val="77"/>
          <w:marBottom w:val="0"/>
          <w:divBdr>
            <w:top w:val="none" w:sz="0" w:space="0" w:color="auto"/>
            <w:left w:val="none" w:sz="0" w:space="0" w:color="auto"/>
            <w:bottom w:val="none" w:sz="0" w:space="0" w:color="auto"/>
            <w:right w:val="none" w:sz="0" w:space="0" w:color="auto"/>
          </w:divBdr>
        </w:div>
        <w:div w:id="898631205">
          <w:marLeft w:val="403"/>
          <w:marRight w:val="0"/>
          <w:marTop w:val="96"/>
          <w:marBottom w:val="0"/>
          <w:divBdr>
            <w:top w:val="none" w:sz="0" w:space="0" w:color="auto"/>
            <w:left w:val="none" w:sz="0" w:space="0" w:color="auto"/>
            <w:bottom w:val="none" w:sz="0" w:space="0" w:color="auto"/>
            <w:right w:val="none" w:sz="0" w:space="0" w:color="auto"/>
          </w:divBdr>
        </w:div>
        <w:div w:id="1053193375">
          <w:marLeft w:val="878"/>
          <w:marRight w:val="0"/>
          <w:marTop w:val="77"/>
          <w:marBottom w:val="0"/>
          <w:divBdr>
            <w:top w:val="none" w:sz="0" w:space="0" w:color="auto"/>
            <w:left w:val="none" w:sz="0" w:space="0" w:color="auto"/>
            <w:bottom w:val="none" w:sz="0" w:space="0" w:color="auto"/>
            <w:right w:val="none" w:sz="0" w:space="0" w:color="auto"/>
          </w:divBdr>
        </w:div>
        <w:div w:id="1133251349">
          <w:marLeft w:val="878"/>
          <w:marRight w:val="0"/>
          <w:marTop w:val="77"/>
          <w:marBottom w:val="0"/>
          <w:divBdr>
            <w:top w:val="none" w:sz="0" w:space="0" w:color="auto"/>
            <w:left w:val="none" w:sz="0" w:space="0" w:color="auto"/>
            <w:bottom w:val="none" w:sz="0" w:space="0" w:color="auto"/>
            <w:right w:val="none" w:sz="0" w:space="0" w:color="auto"/>
          </w:divBdr>
        </w:div>
        <w:div w:id="1501893331">
          <w:marLeft w:val="878"/>
          <w:marRight w:val="0"/>
          <w:marTop w:val="77"/>
          <w:marBottom w:val="0"/>
          <w:divBdr>
            <w:top w:val="none" w:sz="0" w:space="0" w:color="auto"/>
            <w:left w:val="none" w:sz="0" w:space="0" w:color="auto"/>
            <w:bottom w:val="none" w:sz="0" w:space="0" w:color="auto"/>
            <w:right w:val="none" w:sz="0" w:space="0" w:color="auto"/>
          </w:divBdr>
        </w:div>
        <w:div w:id="2045985628">
          <w:marLeft w:val="403"/>
          <w:marRight w:val="0"/>
          <w:marTop w:val="96"/>
          <w:marBottom w:val="0"/>
          <w:divBdr>
            <w:top w:val="none" w:sz="0" w:space="0" w:color="auto"/>
            <w:left w:val="none" w:sz="0" w:space="0" w:color="auto"/>
            <w:bottom w:val="none" w:sz="0" w:space="0" w:color="auto"/>
            <w:right w:val="none" w:sz="0" w:space="0" w:color="auto"/>
          </w:divBdr>
        </w:div>
      </w:divsChild>
    </w:div>
    <w:div w:id="607856199">
      <w:bodyDiv w:val="1"/>
      <w:marLeft w:val="0"/>
      <w:marRight w:val="0"/>
      <w:marTop w:val="0"/>
      <w:marBottom w:val="0"/>
      <w:divBdr>
        <w:top w:val="none" w:sz="0" w:space="0" w:color="auto"/>
        <w:left w:val="none" w:sz="0" w:space="0" w:color="auto"/>
        <w:bottom w:val="none" w:sz="0" w:space="0" w:color="auto"/>
        <w:right w:val="none" w:sz="0" w:space="0" w:color="auto"/>
      </w:divBdr>
    </w:div>
    <w:div w:id="670327848">
      <w:bodyDiv w:val="1"/>
      <w:marLeft w:val="0"/>
      <w:marRight w:val="0"/>
      <w:marTop w:val="0"/>
      <w:marBottom w:val="0"/>
      <w:divBdr>
        <w:top w:val="none" w:sz="0" w:space="0" w:color="auto"/>
        <w:left w:val="none" w:sz="0" w:space="0" w:color="auto"/>
        <w:bottom w:val="none" w:sz="0" w:space="0" w:color="auto"/>
        <w:right w:val="none" w:sz="0" w:space="0" w:color="auto"/>
      </w:divBdr>
      <w:divsChild>
        <w:div w:id="624701347">
          <w:marLeft w:val="403"/>
          <w:marRight w:val="0"/>
          <w:marTop w:val="86"/>
          <w:marBottom w:val="0"/>
          <w:divBdr>
            <w:top w:val="none" w:sz="0" w:space="0" w:color="auto"/>
            <w:left w:val="none" w:sz="0" w:space="0" w:color="auto"/>
            <w:bottom w:val="none" w:sz="0" w:space="0" w:color="auto"/>
            <w:right w:val="none" w:sz="0" w:space="0" w:color="auto"/>
          </w:divBdr>
        </w:div>
        <w:div w:id="2022272225">
          <w:marLeft w:val="403"/>
          <w:marRight w:val="0"/>
          <w:marTop w:val="86"/>
          <w:marBottom w:val="0"/>
          <w:divBdr>
            <w:top w:val="none" w:sz="0" w:space="0" w:color="auto"/>
            <w:left w:val="none" w:sz="0" w:space="0" w:color="auto"/>
            <w:bottom w:val="none" w:sz="0" w:space="0" w:color="auto"/>
            <w:right w:val="none" w:sz="0" w:space="0" w:color="auto"/>
          </w:divBdr>
        </w:div>
        <w:div w:id="2098213342">
          <w:marLeft w:val="403"/>
          <w:marRight w:val="0"/>
          <w:marTop w:val="86"/>
          <w:marBottom w:val="0"/>
          <w:divBdr>
            <w:top w:val="none" w:sz="0" w:space="0" w:color="auto"/>
            <w:left w:val="none" w:sz="0" w:space="0" w:color="auto"/>
            <w:bottom w:val="none" w:sz="0" w:space="0" w:color="auto"/>
            <w:right w:val="none" w:sz="0" w:space="0" w:color="auto"/>
          </w:divBdr>
        </w:div>
      </w:divsChild>
    </w:div>
    <w:div w:id="672411517">
      <w:bodyDiv w:val="1"/>
      <w:marLeft w:val="0"/>
      <w:marRight w:val="0"/>
      <w:marTop w:val="0"/>
      <w:marBottom w:val="0"/>
      <w:divBdr>
        <w:top w:val="none" w:sz="0" w:space="0" w:color="auto"/>
        <w:left w:val="none" w:sz="0" w:space="0" w:color="auto"/>
        <w:bottom w:val="none" w:sz="0" w:space="0" w:color="auto"/>
        <w:right w:val="none" w:sz="0" w:space="0" w:color="auto"/>
      </w:divBdr>
    </w:div>
    <w:div w:id="693074792">
      <w:bodyDiv w:val="1"/>
      <w:marLeft w:val="0"/>
      <w:marRight w:val="0"/>
      <w:marTop w:val="0"/>
      <w:marBottom w:val="0"/>
      <w:divBdr>
        <w:top w:val="none" w:sz="0" w:space="0" w:color="auto"/>
        <w:left w:val="none" w:sz="0" w:space="0" w:color="auto"/>
        <w:bottom w:val="none" w:sz="0" w:space="0" w:color="auto"/>
        <w:right w:val="none" w:sz="0" w:space="0" w:color="auto"/>
      </w:divBdr>
    </w:div>
    <w:div w:id="699818851">
      <w:bodyDiv w:val="1"/>
      <w:marLeft w:val="0"/>
      <w:marRight w:val="0"/>
      <w:marTop w:val="0"/>
      <w:marBottom w:val="0"/>
      <w:divBdr>
        <w:top w:val="none" w:sz="0" w:space="0" w:color="auto"/>
        <w:left w:val="none" w:sz="0" w:space="0" w:color="auto"/>
        <w:bottom w:val="none" w:sz="0" w:space="0" w:color="auto"/>
        <w:right w:val="none" w:sz="0" w:space="0" w:color="auto"/>
      </w:divBdr>
      <w:divsChild>
        <w:div w:id="153956263">
          <w:marLeft w:val="878"/>
          <w:marRight w:val="0"/>
          <w:marTop w:val="86"/>
          <w:marBottom w:val="0"/>
          <w:divBdr>
            <w:top w:val="none" w:sz="0" w:space="0" w:color="auto"/>
            <w:left w:val="none" w:sz="0" w:space="0" w:color="auto"/>
            <w:bottom w:val="none" w:sz="0" w:space="0" w:color="auto"/>
            <w:right w:val="none" w:sz="0" w:space="0" w:color="auto"/>
          </w:divBdr>
        </w:div>
        <w:div w:id="225536208">
          <w:marLeft w:val="403"/>
          <w:marRight w:val="0"/>
          <w:marTop w:val="115"/>
          <w:marBottom w:val="0"/>
          <w:divBdr>
            <w:top w:val="none" w:sz="0" w:space="0" w:color="auto"/>
            <w:left w:val="none" w:sz="0" w:space="0" w:color="auto"/>
            <w:bottom w:val="none" w:sz="0" w:space="0" w:color="auto"/>
            <w:right w:val="none" w:sz="0" w:space="0" w:color="auto"/>
          </w:divBdr>
        </w:div>
        <w:div w:id="292978124">
          <w:marLeft w:val="878"/>
          <w:marRight w:val="0"/>
          <w:marTop w:val="86"/>
          <w:marBottom w:val="0"/>
          <w:divBdr>
            <w:top w:val="none" w:sz="0" w:space="0" w:color="auto"/>
            <w:left w:val="none" w:sz="0" w:space="0" w:color="auto"/>
            <w:bottom w:val="none" w:sz="0" w:space="0" w:color="auto"/>
            <w:right w:val="none" w:sz="0" w:space="0" w:color="auto"/>
          </w:divBdr>
        </w:div>
        <w:div w:id="294410810">
          <w:marLeft w:val="878"/>
          <w:marRight w:val="0"/>
          <w:marTop w:val="86"/>
          <w:marBottom w:val="0"/>
          <w:divBdr>
            <w:top w:val="none" w:sz="0" w:space="0" w:color="auto"/>
            <w:left w:val="none" w:sz="0" w:space="0" w:color="auto"/>
            <w:bottom w:val="none" w:sz="0" w:space="0" w:color="auto"/>
            <w:right w:val="none" w:sz="0" w:space="0" w:color="auto"/>
          </w:divBdr>
        </w:div>
        <w:div w:id="703095332">
          <w:marLeft w:val="403"/>
          <w:marRight w:val="0"/>
          <w:marTop w:val="106"/>
          <w:marBottom w:val="0"/>
          <w:divBdr>
            <w:top w:val="none" w:sz="0" w:space="0" w:color="auto"/>
            <w:left w:val="none" w:sz="0" w:space="0" w:color="auto"/>
            <w:bottom w:val="none" w:sz="0" w:space="0" w:color="auto"/>
            <w:right w:val="none" w:sz="0" w:space="0" w:color="auto"/>
          </w:divBdr>
        </w:div>
        <w:div w:id="775833924">
          <w:marLeft w:val="878"/>
          <w:marRight w:val="0"/>
          <w:marTop w:val="86"/>
          <w:marBottom w:val="0"/>
          <w:divBdr>
            <w:top w:val="none" w:sz="0" w:space="0" w:color="auto"/>
            <w:left w:val="none" w:sz="0" w:space="0" w:color="auto"/>
            <w:bottom w:val="none" w:sz="0" w:space="0" w:color="auto"/>
            <w:right w:val="none" w:sz="0" w:space="0" w:color="auto"/>
          </w:divBdr>
        </w:div>
        <w:div w:id="976833160">
          <w:marLeft w:val="878"/>
          <w:marRight w:val="0"/>
          <w:marTop w:val="86"/>
          <w:marBottom w:val="0"/>
          <w:divBdr>
            <w:top w:val="none" w:sz="0" w:space="0" w:color="auto"/>
            <w:left w:val="none" w:sz="0" w:space="0" w:color="auto"/>
            <w:bottom w:val="none" w:sz="0" w:space="0" w:color="auto"/>
            <w:right w:val="none" w:sz="0" w:space="0" w:color="auto"/>
          </w:divBdr>
        </w:div>
        <w:div w:id="1075666133">
          <w:marLeft w:val="878"/>
          <w:marRight w:val="0"/>
          <w:marTop w:val="86"/>
          <w:marBottom w:val="0"/>
          <w:divBdr>
            <w:top w:val="none" w:sz="0" w:space="0" w:color="auto"/>
            <w:left w:val="none" w:sz="0" w:space="0" w:color="auto"/>
            <w:bottom w:val="none" w:sz="0" w:space="0" w:color="auto"/>
            <w:right w:val="none" w:sz="0" w:space="0" w:color="auto"/>
          </w:divBdr>
        </w:div>
        <w:div w:id="1236940208">
          <w:marLeft w:val="878"/>
          <w:marRight w:val="0"/>
          <w:marTop w:val="86"/>
          <w:marBottom w:val="0"/>
          <w:divBdr>
            <w:top w:val="none" w:sz="0" w:space="0" w:color="auto"/>
            <w:left w:val="none" w:sz="0" w:space="0" w:color="auto"/>
            <w:bottom w:val="none" w:sz="0" w:space="0" w:color="auto"/>
            <w:right w:val="none" w:sz="0" w:space="0" w:color="auto"/>
          </w:divBdr>
        </w:div>
        <w:div w:id="1404528280">
          <w:marLeft w:val="878"/>
          <w:marRight w:val="0"/>
          <w:marTop w:val="86"/>
          <w:marBottom w:val="0"/>
          <w:divBdr>
            <w:top w:val="none" w:sz="0" w:space="0" w:color="auto"/>
            <w:left w:val="none" w:sz="0" w:space="0" w:color="auto"/>
            <w:bottom w:val="none" w:sz="0" w:space="0" w:color="auto"/>
            <w:right w:val="none" w:sz="0" w:space="0" w:color="auto"/>
          </w:divBdr>
        </w:div>
        <w:div w:id="1430739234">
          <w:marLeft w:val="403"/>
          <w:marRight w:val="0"/>
          <w:marTop w:val="106"/>
          <w:marBottom w:val="0"/>
          <w:divBdr>
            <w:top w:val="none" w:sz="0" w:space="0" w:color="auto"/>
            <w:left w:val="none" w:sz="0" w:space="0" w:color="auto"/>
            <w:bottom w:val="none" w:sz="0" w:space="0" w:color="auto"/>
            <w:right w:val="none" w:sz="0" w:space="0" w:color="auto"/>
          </w:divBdr>
        </w:div>
        <w:div w:id="1526140852">
          <w:marLeft w:val="403"/>
          <w:marRight w:val="0"/>
          <w:marTop w:val="106"/>
          <w:marBottom w:val="0"/>
          <w:divBdr>
            <w:top w:val="none" w:sz="0" w:space="0" w:color="auto"/>
            <w:left w:val="none" w:sz="0" w:space="0" w:color="auto"/>
            <w:bottom w:val="none" w:sz="0" w:space="0" w:color="auto"/>
            <w:right w:val="none" w:sz="0" w:space="0" w:color="auto"/>
          </w:divBdr>
        </w:div>
      </w:divsChild>
    </w:div>
    <w:div w:id="737820616">
      <w:bodyDiv w:val="1"/>
      <w:marLeft w:val="0"/>
      <w:marRight w:val="0"/>
      <w:marTop w:val="0"/>
      <w:marBottom w:val="0"/>
      <w:divBdr>
        <w:top w:val="none" w:sz="0" w:space="0" w:color="auto"/>
        <w:left w:val="none" w:sz="0" w:space="0" w:color="auto"/>
        <w:bottom w:val="none" w:sz="0" w:space="0" w:color="auto"/>
        <w:right w:val="none" w:sz="0" w:space="0" w:color="auto"/>
      </w:divBdr>
    </w:div>
    <w:div w:id="740758368">
      <w:bodyDiv w:val="1"/>
      <w:marLeft w:val="0"/>
      <w:marRight w:val="0"/>
      <w:marTop w:val="0"/>
      <w:marBottom w:val="0"/>
      <w:divBdr>
        <w:top w:val="none" w:sz="0" w:space="0" w:color="auto"/>
        <w:left w:val="none" w:sz="0" w:space="0" w:color="auto"/>
        <w:bottom w:val="none" w:sz="0" w:space="0" w:color="auto"/>
        <w:right w:val="none" w:sz="0" w:space="0" w:color="auto"/>
      </w:divBdr>
      <w:divsChild>
        <w:div w:id="508059172">
          <w:marLeft w:val="878"/>
          <w:marRight w:val="0"/>
          <w:marTop w:val="96"/>
          <w:marBottom w:val="0"/>
          <w:divBdr>
            <w:top w:val="none" w:sz="0" w:space="0" w:color="auto"/>
            <w:left w:val="none" w:sz="0" w:space="0" w:color="auto"/>
            <w:bottom w:val="none" w:sz="0" w:space="0" w:color="auto"/>
            <w:right w:val="none" w:sz="0" w:space="0" w:color="auto"/>
          </w:divBdr>
        </w:div>
        <w:div w:id="902254328">
          <w:marLeft w:val="878"/>
          <w:marRight w:val="0"/>
          <w:marTop w:val="96"/>
          <w:marBottom w:val="0"/>
          <w:divBdr>
            <w:top w:val="none" w:sz="0" w:space="0" w:color="auto"/>
            <w:left w:val="none" w:sz="0" w:space="0" w:color="auto"/>
            <w:bottom w:val="none" w:sz="0" w:space="0" w:color="auto"/>
            <w:right w:val="none" w:sz="0" w:space="0" w:color="auto"/>
          </w:divBdr>
        </w:div>
        <w:div w:id="1338770985">
          <w:marLeft w:val="403"/>
          <w:marRight w:val="0"/>
          <w:marTop w:val="115"/>
          <w:marBottom w:val="0"/>
          <w:divBdr>
            <w:top w:val="none" w:sz="0" w:space="0" w:color="auto"/>
            <w:left w:val="none" w:sz="0" w:space="0" w:color="auto"/>
            <w:bottom w:val="none" w:sz="0" w:space="0" w:color="auto"/>
            <w:right w:val="none" w:sz="0" w:space="0" w:color="auto"/>
          </w:divBdr>
        </w:div>
        <w:div w:id="1816604448">
          <w:marLeft w:val="878"/>
          <w:marRight w:val="0"/>
          <w:marTop w:val="96"/>
          <w:marBottom w:val="0"/>
          <w:divBdr>
            <w:top w:val="none" w:sz="0" w:space="0" w:color="auto"/>
            <w:left w:val="none" w:sz="0" w:space="0" w:color="auto"/>
            <w:bottom w:val="none" w:sz="0" w:space="0" w:color="auto"/>
            <w:right w:val="none" w:sz="0" w:space="0" w:color="auto"/>
          </w:divBdr>
        </w:div>
        <w:div w:id="1886329843">
          <w:marLeft w:val="878"/>
          <w:marRight w:val="0"/>
          <w:marTop w:val="96"/>
          <w:marBottom w:val="0"/>
          <w:divBdr>
            <w:top w:val="none" w:sz="0" w:space="0" w:color="auto"/>
            <w:left w:val="none" w:sz="0" w:space="0" w:color="auto"/>
            <w:bottom w:val="none" w:sz="0" w:space="0" w:color="auto"/>
            <w:right w:val="none" w:sz="0" w:space="0" w:color="auto"/>
          </w:divBdr>
        </w:div>
        <w:div w:id="1907960231">
          <w:marLeft w:val="878"/>
          <w:marRight w:val="0"/>
          <w:marTop w:val="96"/>
          <w:marBottom w:val="0"/>
          <w:divBdr>
            <w:top w:val="none" w:sz="0" w:space="0" w:color="auto"/>
            <w:left w:val="none" w:sz="0" w:space="0" w:color="auto"/>
            <w:bottom w:val="none" w:sz="0" w:space="0" w:color="auto"/>
            <w:right w:val="none" w:sz="0" w:space="0" w:color="auto"/>
          </w:divBdr>
        </w:div>
        <w:div w:id="2059426674">
          <w:marLeft w:val="403"/>
          <w:marRight w:val="0"/>
          <w:marTop w:val="115"/>
          <w:marBottom w:val="0"/>
          <w:divBdr>
            <w:top w:val="none" w:sz="0" w:space="0" w:color="auto"/>
            <w:left w:val="none" w:sz="0" w:space="0" w:color="auto"/>
            <w:bottom w:val="none" w:sz="0" w:space="0" w:color="auto"/>
            <w:right w:val="none" w:sz="0" w:space="0" w:color="auto"/>
          </w:divBdr>
        </w:div>
      </w:divsChild>
    </w:div>
    <w:div w:id="829325156">
      <w:bodyDiv w:val="1"/>
      <w:marLeft w:val="0"/>
      <w:marRight w:val="0"/>
      <w:marTop w:val="0"/>
      <w:marBottom w:val="0"/>
      <w:divBdr>
        <w:top w:val="none" w:sz="0" w:space="0" w:color="auto"/>
        <w:left w:val="none" w:sz="0" w:space="0" w:color="auto"/>
        <w:bottom w:val="none" w:sz="0" w:space="0" w:color="auto"/>
        <w:right w:val="none" w:sz="0" w:space="0" w:color="auto"/>
      </w:divBdr>
      <w:divsChild>
        <w:div w:id="1127546949">
          <w:marLeft w:val="533"/>
          <w:marRight w:val="0"/>
          <w:marTop w:val="0"/>
          <w:marBottom w:val="0"/>
          <w:divBdr>
            <w:top w:val="none" w:sz="0" w:space="0" w:color="auto"/>
            <w:left w:val="none" w:sz="0" w:space="0" w:color="auto"/>
            <w:bottom w:val="none" w:sz="0" w:space="0" w:color="auto"/>
            <w:right w:val="none" w:sz="0" w:space="0" w:color="auto"/>
          </w:divBdr>
        </w:div>
        <w:div w:id="1876385410">
          <w:marLeft w:val="533"/>
          <w:marRight w:val="0"/>
          <w:marTop w:val="0"/>
          <w:marBottom w:val="0"/>
          <w:divBdr>
            <w:top w:val="none" w:sz="0" w:space="0" w:color="auto"/>
            <w:left w:val="none" w:sz="0" w:space="0" w:color="auto"/>
            <w:bottom w:val="none" w:sz="0" w:space="0" w:color="auto"/>
            <w:right w:val="none" w:sz="0" w:space="0" w:color="auto"/>
          </w:divBdr>
        </w:div>
        <w:div w:id="1754665254">
          <w:marLeft w:val="533"/>
          <w:marRight w:val="0"/>
          <w:marTop w:val="0"/>
          <w:marBottom w:val="0"/>
          <w:divBdr>
            <w:top w:val="none" w:sz="0" w:space="0" w:color="auto"/>
            <w:left w:val="none" w:sz="0" w:space="0" w:color="auto"/>
            <w:bottom w:val="none" w:sz="0" w:space="0" w:color="auto"/>
            <w:right w:val="none" w:sz="0" w:space="0" w:color="auto"/>
          </w:divBdr>
        </w:div>
        <w:div w:id="967585945">
          <w:marLeft w:val="806"/>
          <w:marRight w:val="0"/>
          <w:marTop w:val="0"/>
          <w:marBottom w:val="0"/>
          <w:divBdr>
            <w:top w:val="none" w:sz="0" w:space="0" w:color="auto"/>
            <w:left w:val="none" w:sz="0" w:space="0" w:color="auto"/>
            <w:bottom w:val="none" w:sz="0" w:space="0" w:color="auto"/>
            <w:right w:val="none" w:sz="0" w:space="0" w:color="auto"/>
          </w:divBdr>
        </w:div>
        <w:div w:id="1316252719">
          <w:marLeft w:val="533"/>
          <w:marRight w:val="0"/>
          <w:marTop w:val="0"/>
          <w:marBottom w:val="0"/>
          <w:divBdr>
            <w:top w:val="none" w:sz="0" w:space="0" w:color="auto"/>
            <w:left w:val="none" w:sz="0" w:space="0" w:color="auto"/>
            <w:bottom w:val="none" w:sz="0" w:space="0" w:color="auto"/>
            <w:right w:val="none" w:sz="0" w:space="0" w:color="auto"/>
          </w:divBdr>
        </w:div>
        <w:div w:id="1943293208">
          <w:marLeft w:val="533"/>
          <w:marRight w:val="0"/>
          <w:marTop w:val="0"/>
          <w:marBottom w:val="0"/>
          <w:divBdr>
            <w:top w:val="none" w:sz="0" w:space="0" w:color="auto"/>
            <w:left w:val="none" w:sz="0" w:space="0" w:color="auto"/>
            <w:bottom w:val="none" w:sz="0" w:space="0" w:color="auto"/>
            <w:right w:val="none" w:sz="0" w:space="0" w:color="auto"/>
          </w:divBdr>
        </w:div>
      </w:divsChild>
    </w:div>
    <w:div w:id="883712756">
      <w:bodyDiv w:val="1"/>
      <w:marLeft w:val="0"/>
      <w:marRight w:val="0"/>
      <w:marTop w:val="0"/>
      <w:marBottom w:val="0"/>
      <w:divBdr>
        <w:top w:val="none" w:sz="0" w:space="0" w:color="auto"/>
        <w:left w:val="none" w:sz="0" w:space="0" w:color="auto"/>
        <w:bottom w:val="none" w:sz="0" w:space="0" w:color="auto"/>
        <w:right w:val="none" w:sz="0" w:space="0" w:color="auto"/>
      </w:divBdr>
    </w:div>
    <w:div w:id="913048296">
      <w:bodyDiv w:val="1"/>
      <w:marLeft w:val="0"/>
      <w:marRight w:val="0"/>
      <w:marTop w:val="0"/>
      <w:marBottom w:val="0"/>
      <w:divBdr>
        <w:top w:val="none" w:sz="0" w:space="0" w:color="auto"/>
        <w:left w:val="none" w:sz="0" w:space="0" w:color="auto"/>
        <w:bottom w:val="none" w:sz="0" w:space="0" w:color="auto"/>
        <w:right w:val="none" w:sz="0" w:space="0" w:color="auto"/>
      </w:divBdr>
      <w:divsChild>
        <w:div w:id="831917250">
          <w:marLeft w:val="878"/>
          <w:marRight w:val="0"/>
          <w:marTop w:val="96"/>
          <w:marBottom w:val="0"/>
          <w:divBdr>
            <w:top w:val="none" w:sz="0" w:space="0" w:color="auto"/>
            <w:left w:val="none" w:sz="0" w:space="0" w:color="auto"/>
            <w:bottom w:val="none" w:sz="0" w:space="0" w:color="auto"/>
            <w:right w:val="none" w:sz="0" w:space="0" w:color="auto"/>
          </w:divBdr>
        </w:div>
        <w:div w:id="1322273713">
          <w:marLeft w:val="878"/>
          <w:marRight w:val="0"/>
          <w:marTop w:val="96"/>
          <w:marBottom w:val="0"/>
          <w:divBdr>
            <w:top w:val="none" w:sz="0" w:space="0" w:color="auto"/>
            <w:left w:val="none" w:sz="0" w:space="0" w:color="auto"/>
            <w:bottom w:val="none" w:sz="0" w:space="0" w:color="auto"/>
            <w:right w:val="none" w:sz="0" w:space="0" w:color="auto"/>
          </w:divBdr>
        </w:div>
        <w:div w:id="1351833735">
          <w:marLeft w:val="403"/>
          <w:marRight w:val="0"/>
          <w:marTop w:val="115"/>
          <w:marBottom w:val="0"/>
          <w:divBdr>
            <w:top w:val="none" w:sz="0" w:space="0" w:color="auto"/>
            <w:left w:val="none" w:sz="0" w:space="0" w:color="auto"/>
            <w:bottom w:val="none" w:sz="0" w:space="0" w:color="auto"/>
            <w:right w:val="none" w:sz="0" w:space="0" w:color="auto"/>
          </w:divBdr>
        </w:div>
        <w:div w:id="1461073058">
          <w:marLeft w:val="878"/>
          <w:marRight w:val="0"/>
          <w:marTop w:val="96"/>
          <w:marBottom w:val="0"/>
          <w:divBdr>
            <w:top w:val="none" w:sz="0" w:space="0" w:color="auto"/>
            <w:left w:val="none" w:sz="0" w:space="0" w:color="auto"/>
            <w:bottom w:val="none" w:sz="0" w:space="0" w:color="auto"/>
            <w:right w:val="none" w:sz="0" w:space="0" w:color="auto"/>
          </w:divBdr>
        </w:div>
        <w:div w:id="1839038194">
          <w:marLeft w:val="878"/>
          <w:marRight w:val="0"/>
          <w:marTop w:val="96"/>
          <w:marBottom w:val="0"/>
          <w:divBdr>
            <w:top w:val="none" w:sz="0" w:space="0" w:color="auto"/>
            <w:left w:val="none" w:sz="0" w:space="0" w:color="auto"/>
            <w:bottom w:val="none" w:sz="0" w:space="0" w:color="auto"/>
            <w:right w:val="none" w:sz="0" w:space="0" w:color="auto"/>
          </w:divBdr>
        </w:div>
        <w:div w:id="2022900549">
          <w:marLeft w:val="403"/>
          <w:marRight w:val="0"/>
          <w:marTop w:val="115"/>
          <w:marBottom w:val="0"/>
          <w:divBdr>
            <w:top w:val="none" w:sz="0" w:space="0" w:color="auto"/>
            <w:left w:val="none" w:sz="0" w:space="0" w:color="auto"/>
            <w:bottom w:val="none" w:sz="0" w:space="0" w:color="auto"/>
            <w:right w:val="none" w:sz="0" w:space="0" w:color="auto"/>
          </w:divBdr>
        </w:div>
      </w:divsChild>
    </w:div>
    <w:div w:id="984626170">
      <w:bodyDiv w:val="1"/>
      <w:marLeft w:val="0"/>
      <w:marRight w:val="0"/>
      <w:marTop w:val="0"/>
      <w:marBottom w:val="0"/>
      <w:divBdr>
        <w:top w:val="none" w:sz="0" w:space="0" w:color="auto"/>
        <w:left w:val="none" w:sz="0" w:space="0" w:color="auto"/>
        <w:bottom w:val="none" w:sz="0" w:space="0" w:color="auto"/>
        <w:right w:val="none" w:sz="0" w:space="0" w:color="auto"/>
      </w:divBdr>
    </w:div>
    <w:div w:id="1129125194">
      <w:bodyDiv w:val="1"/>
      <w:marLeft w:val="0"/>
      <w:marRight w:val="0"/>
      <w:marTop w:val="0"/>
      <w:marBottom w:val="0"/>
      <w:divBdr>
        <w:top w:val="none" w:sz="0" w:space="0" w:color="auto"/>
        <w:left w:val="none" w:sz="0" w:space="0" w:color="auto"/>
        <w:bottom w:val="none" w:sz="0" w:space="0" w:color="auto"/>
        <w:right w:val="none" w:sz="0" w:space="0" w:color="auto"/>
      </w:divBdr>
    </w:div>
    <w:div w:id="1134055243">
      <w:bodyDiv w:val="1"/>
      <w:marLeft w:val="0"/>
      <w:marRight w:val="0"/>
      <w:marTop w:val="0"/>
      <w:marBottom w:val="0"/>
      <w:divBdr>
        <w:top w:val="none" w:sz="0" w:space="0" w:color="auto"/>
        <w:left w:val="none" w:sz="0" w:space="0" w:color="auto"/>
        <w:bottom w:val="none" w:sz="0" w:space="0" w:color="auto"/>
        <w:right w:val="none" w:sz="0" w:space="0" w:color="auto"/>
      </w:divBdr>
    </w:div>
    <w:div w:id="1168713414">
      <w:bodyDiv w:val="1"/>
      <w:marLeft w:val="0"/>
      <w:marRight w:val="0"/>
      <w:marTop w:val="0"/>
      <w:marBottom w:val="0"/>
      <w:divBdr>
        <w:top w:val="none" w:sz="0" w:space="0" w:color="auto"/>
        <w:left w:val="none" w:sz="0" w:space="0" w:color="auto"/>
        <w:bottom w:val="none" w:sz="0" w:space="0" w:color="auto"/>
        <w:right w:val="none" w:sz="0" w:space="0" w:color="auto"/>
      </w:divBdr>
    </w:div>
    <w:div w:id="1192034332">
      <w:bodyDiv w:val="1"/>
      <w:marLeft w:val="0"/>
      <w:marRight w:val="0"/>
      <w:marTop w:val="0"/>
      <w:marBottom w:val="0"/>
      <w:divBdr>
        <w:top w:val="none" w:sz="0" w:space="0" w:color="auto"/>
        <w:left w:val="none" w:sz="0" w:space="0" w:color="auto"/>
        <w:bottom w:val="none" w:sz="0" w:space="0" w:color="auto"/>
        <w:right w:val="none" w:sz="0" w:space="0" w:color="auto"/>
      </w:divBdr>
    </w:div>
    <w:div w:id="1279528603">
      <w:bodyDiv w:val="1"/>
      <w:marLeft w:val="0"/>
      <w:marRight w:val="0"/>
      <w:marTop w:val="0"/>
      <w:marBottom w:val="0"/>
      <w:divBdr>
        <w:top w:val="none" w:sz="0" w:space="0" w:color="auto"/>
        <w:left w:val="none" w:sz="0" w:space="0" w:color="auto"/>
        <w:bottom w:val="none" w:sz="0" w:space="0" w:color="auto"/>
        <w:right w:val="none" w:sz="0" w:space="0" w:color="auto"/>
      </w:divBdr>
      <w:divsChild>
        <w:div w:id="307786095">
          <w:marLeft w:val="878"/>
          <w:marRight w:val="0"/>
          <w:marTop w:val="96"/>
          <w:marBottom w:val="0"/>
          <w:divBdr>
            <w:top w:val="none" w:sz="0" w:space="0" w:color="auto"/>
            <w:left w:val="none" w:sz="0" w:space="0" w:color="auto"/>
            <w:bottom w:val="none" w:sz="0" w:space="0" w:color="auto"/>
            <w:right w:val="none" w:sz="0" w:space="0" w:color="auto"/>
          </w:divBdr>
        </w:div>
        <w:div w:id="407465115">
          <w:marLeft w:val="403"/>
          <w:marRight w:val="0"/>
          <w:marTop w:val="115"/>
          <w:marBottom w:val="0"/>
          <w:divBdr>
            <w:top w:val="none" w:sz="0" w:space="0" w:color="auto"/>
            <w:left w:val="none" w:sz="0" w:space="0" w:color="auto"/>
            <w:bottom w:val="none" w:sz="0" w:space="0" w:color="auto"/>
            <w:right w:val="none" w:sz="0" w:space="0" w:color="auto"/>
          </w:divBdr>
        </w:div>
        <w:div w:id="603196993">
          <w:marLeft w:val="403"/>
          <w:marRight w:val="0"/>
          <w:marTop w:val="115"/>
          <w:marBottom w:val="0"/>
          <w:divBdr>
            <w:top w:val="none" w:sz="0" w:space="0" w:color="auto"/>
            <w:left w:val="none" w:sz="0" w:space="0" w:color="auto"/>
            <w:bottom w:val="none" w:sz="0" w:space="0" w:color="auto"/>
            <w:right w:val="none" w:sz="0" w:space="0" w:color="auto"/>
          </w:divBdr>
        </w:div>
        <w:div w:id="953361294">
          <w:marLeft w:val="403"/>
          <w:marRight w:val="0"/>
          <w:marTop w:val="115"/>
          <w:marBottom w:val="0"/>
          <w:divBdr>
            <w:top w:val="none" w:sz="0" w:space="0" w:color="auto"/>
            <w:left w:val="none" w:sz="0" w:space="0" w:color="auto"/>
            <w:bottom w:val="none" w:sz="0" w:space="0" w:color="auto"/>
            <w:right w:val="none" w:sz="0" w:space="0" w:color="auto"/>
          </w:divBdr>
        </w:div>
        <w:div w:id="992413728">
          <w:marLeft w:val="1210"/>
          <w:marRight w:val="0"/>
          <w:marTop w:val="86"/>
          <w:marBottom w:val="0"/>
          <w:divBdr>
            <w:top w:val="none" w:sz="0" w:space="0" w:color="auto"/>
            <w:left w:val="none" w:sz="0" w:space="0" w:color="auto"/>
            <w:bottom w:val="none" w:sz="0" w:space="0" w:color="auto"/>
            <w:right w:val="none" w:sz="0" w:space="0" w:color="auto"/>
          </w:divBdr>
        </w:div>
        <w:div w:id="1019241101">
          <w:marLeft w:val="878"/>
          <w:marRight w:val="0"/>
          <w:marTop w:val="96"/>
          <w:marBottom w:val="0"/>
          <w:divBdr>
            <w:top w:val="none" w:sz="0" w:space="0" w:color="auto"/>
            <w:left w:val="none" w:sz="0" w:space="0" w:color="auto"/>
            <w:bottom w:val="none" w:sz="0" w:space="0" w:color="auto"/>
            <w:right w:val="none" w:sz="0" w:space="0" w:color="auto"/>
          </w:divBdr>
        </w:div>
        <w:div w:id="1462728561">
          <w:marLeft w:val="878"/>
          <w:marRight w:val="0"/>
          <w:marTop w:val="96"/>
          <w:marBottom w:val="0"/>
          <w:divBdr>
            <w:top w:val="none" w:sz="0" w:space="0" w:color="auto"/>
            <w:left w:val="none" w:sz="0" w:space="0" w:color="auto"/>
            <w:bottom w:val="none" w:sz="0" w:space="0" w:color="auto"/>
            <w:right w:val="none" w:sz="0" w:space="0" w:color="auto"/>
          </w:divBdr>
        </w:div>
        <w:div w:id="1696422973">
          <w:marLeft w:val="878"/>
          <w:marRight w:val="0"/>
          <w:marTop w:val="96"/>
          <w:marBottom w:val="0"/>
          <w:divBdr>
            <w:top w:val="none" w:sz="0" w:space="0" w:color="auto"/>
            <w:left w:val="none" w:sz="0" w:space="0" w:color="auto"/>
            <w:bottom w:val="none" w:sz="0" w:space="0" w:color="auto"/>
            <w:right w:val="none" w:sz="0" w:space="0" w:color="auto"/>
          </w:divBdr>
        </w:div>
      </w:divsChild>
    </w:div>
    <w:div w:id="1279676893">
      <w:bodyDiv w:val="1"/>
      <w:marLeft w:val="0"/>
      <w:marRight w:val="0"/>
      <w:marTop w:val="0"/>
      <w:marBottom w:val="0"/>
      <w:divBdr>
        <w:top w:val="none" w:sz="0" w:space="0" w:color="auto"/>
        <w:left w:val="none" w:sz="0" w:space="0" w:color="auto"/>
        <w:bottom w:val="none" w:sz="0" w:space="0" w:color="auto"/>
        <w:right w:val="none" w:sz="0" w:space="0" w:color="auto"/>
      </w:divBdr>
      <w:divsChild>
        <w:div w:id="32266602">
          <w:marLeft w:val="878"/>
          <w:marRight w:val="0"/>
          <w:marTop w:val="77"/>
          <w:marBottom w:val="0"/>
          <w:divBdr>
            <w:top w:val="none" w:sz="0" w:space="0" w:color="auto"/>
            <w:left w:val="none" w:sz="0" w:space="0" w:color="auto"/>
            <w:bottom w:val="none" w:sz="0" w:space="0" w:color="auto"/>
            <w:right w:val="none" w:sz="0" w:space="0" w:color="auto"/>
          </w:divBdr>
        </w:div>
        <w:div w:id="378893678">
          <w:marLeft w:val="403"/>
          <w:marRight w:val="0"/>
          <w:marTop w:val="96"/>
          <w:marBottom w:val="0"/>
          <w:divBdr>
            <w:top w:val="none" w:sz="0" w:space="0" w:color="auto"/>
            <w:left w:val="none" w:sz="0" w:space="0" w:color="auto"/>
            <w:bottom w:val="none" w:sz="0" w:space="0" w:color="auto"/>
            <w:right w:val="none" w:sz="0" w:space="0" w:color="auto"/>
          </w:divBdr>
        </w:div>
        <w:div w:id="444889811">
          <w:marLeft w:val="403"/>
          <w:marRight w:val="0"/>
          <w:marTop w:val="96"/>
          <w:marBottom w:val="0"/>
          <w:divBdr>
            <w:top w:val="none" w:sz="0" w:space="0" w:color="auto"/>
            <w:left w:val="none" w:sz="0" w:space="0" w:color="auto"/>
            <w:bottom w:val="none" w:sz="0" w:space="0" w:color="auto"/>
            <w:right w:val="none" w:sz="0" w:space="0" w:color="auto"/>
          </w:divBdr>
        </w:div>
        <w:div w:id="948971394">
          <w:marLeft w:val="403"/>
          <w:marRight w:val="0"/>
          <w:marTop w:val="96"/>
          <w:marBottom w:val="0"/>
          <w:divBdr>
            <w:top w:val="none" w:sz="0" w:space="0" w:color="auto"/>
            <w:left w:val="none" w:sz="0" w:space="0" w:color="auto"/>
            <w:bottom w:val="none" w:sz="0" w:space="0" w:color="auto"/>
            <w:right w:val="none" w:sz="0" w:space="0" w:color="auto"/>
          </w:divBdr>
        </w:div>
        <w:div w:id="1715421387">
          <w:marLeft w:val="878"/>
          <w:marRight w:val="0"/>
          <w:marTop w:val="77"/>
          <w:marBottom w:val="0"/>
          <w:divBdr>
            <w:top w:val="none" w:sz="0" w:space="0" w:color="auto"/>
            <w:left w:val="none" w:sz="0" w:space="0" w:color="auto"/>
            <w:bottom w:val="none" w:sz="0" w:space="0" w:color="auto"/>
            <w:right w:val="none" w:sz="0" w:space="0" w:color="auto"/>
          </w:divBdr>
        </w:div>
      </w:divsChild>
    </w:div>
    <w:div w:id="1347945564">
      <w:bodyDiv w:val="1"/>
      <w:marLeft w:val="0"/>
      <w:marRight w:val="0"/>
      <w:marTop w:val="0"/>
      <w:marBottom w:val="0"/>
      <w:divBdr>
        <w:top w:val="none" w:sz="0" w:space="0" w:color="auto"/>
        <w:left w:val="none" w:sz="0" w:space="0" w:color="auto"/>
        <w:bottom w:val="none" w:sz="0" w:space="0" w:color="auto"/>
        <w:right w:val="none" w:sz="0" w:space="0" w:color="auto"/>
      </w:divBdr>
    </w:div>
    <w:div w:id="1373576318">
      <w:bodyDiv w:val="1"/>
      <w:marLeft w:val="0"/>
      <w:marRight w:val="0"/>
      <w:marTop w:val="0"/>
      <w:marBottom w:val="0"/>
      <w:divBdr>
        <w:top w:val="none" w:sz="0" w:space="0" w:color="auto"/>
        <w:left w:val="none" w:sz="0" w:space="0" w:color="auto"/>
        <w:bottom w:val="none" w:sz="0" w:space="0" w:color="auto"/>
        <w:right w:val="none" w:sz="0" w:space="0" w:color="auto"/>
      </w:divBdr>
    </w:div>
    <w:div w:id="1445492411">
      <w:bodyDiv w:val="1"/>
      <w:marLeft w:val="0"/>
      <w:marRight w:val="0"/>
      <w:marTop w:val="0"/>
      <w:marBottom w:val="0"/>
      <w:divBdr>
        <w:top w:val="none" w:sz="0" w:space="0" w:color="auto"/>
        <w:left w:val="none" w:sz="0" w:space="0" w:color="auto"/>
        <w:bottom w:val="none" w:sz="0" w:space="0" w:color="auto"/>
        <w:right w:val="none" w:sz="0" w:space="0" w:color="auto"/>
      </w:divBdr>
    </w:div>
    <w:div w:id="1451825988">
      <w:bodyDiv w:val="1"/>
      <w:marLeft w:val="0"/>
      <w:marRight w:val="0"/>
      <w:marTop w:val="0"/>
      <w:marBottom w:val="0"/>
      <w:divBdr>
        <w:top w:val="none" w:sz="0" w:space="0" w:color="auto"/>
        <w:left w:val="none" w:sz="0" w:space="0" w:color="auto"/>
        <w:bottom w:val="none" w:sz="0" w:space="0" w:color="auto"/>
        <w:right w:val="none" w:sz="0" w:space="0" w:color="auto"/>
      </w:divBdr>
      <w:divsChild>
        <w:div w:id="1163205655">
          <w:marLeft w:val="878"/>
          <w:marRight w:val="0"/>
          <w:marTop w:val="115"/>
          <w:marBottom w:val="0"/>
          <w:divBdr>
            <w:top w:val="none" w:sz="0" w:space="0" w:color="auto"/>
            <w:left w:val="none" w:sz="0" w:space="0" w:color="auto"/>
            <w:bottom w:val="none" w:sz="0" w:space="0" w:color="auto"/>
            <w:right w:val="none" w:sz="0" w:space="0" w:color="auto"/>
          </w:divBdr>
        </w:div>
        <w:div w:id="1946769350">
          <w:marLeft w:val="878"/>
          <w:marRight w:val="0"/>
          <w:marTop w:val="115"/>
          <w:marBottom w:val="0"/>
          <w:divBdr>
            <w:top w:val="none" w:sz="0" w:space="0" w:color="auto"/>
            <w:left w:val="none" w:sz="0" w:space="0" w:color="auto"/>
            <w:bottom w:val="none" w:sz="0" w:space="0" w:color="auto"/>
            <w:right w:val="none" w:sz="0" w:space="0" w:color="auto"/>
          </w:divBdr>
        </w:div>
        <w:div w:id="2124840631">
          <w:marLeft w:val="878"/>
          <w:marRight w:val="0"/>
          <w:marTop w:val="115"/>
          <w:marBottom w:val="0"/>
          <w:divBdr>
            <w:top w:val="none" w:sz="0" w:space="0" w:color="auto"/>
            <w:left w:val="none" w:sz="0" w:space="0" w:color="auto"/>
            <w:bottom w:val="none" w:sz="0" w:space="0" w:color="auto"/>
            <w:right w:val="none" w:sz="0" w:space="0" w:color="auto"/>
          </w:divBdr>
        </w:div>
      </w:divsChild>
    </w:div>
    <w:div w:id="1465005767">
      <w:bodyDiv w:val="1"/>
      <w:marLeft w:val="0"/>
      <w:marRight w:val="0"/>
      <w:marTop w:val="0"/>
      <w:marBottom w:val="0"/>
      <w:divBdr>
        <w:top w:val="none" w:sz="0" w:space="0" w:color="auto"/>
        <w:left w:val="none" w:sz="0" w:space="0" w:color="auto"/>
        <w:bottom w:val="none" w:sz="0" w:space="0" w:color="auto"/>
        <w:right w:val="none" w:sz="0" w:space="0" w:color="auto"/>
      </w:divBdr>
      <w:divsChild>
        <w:div w:id="21126673">
          <w:marLeft w:val="878"/>
          <w:marRight w:val="0"/>
          <w:marTop w:val="115"/>
          <w:marBottom w:val="0"/>
          <w:divBdr>
            <w:top w:val="none" w:sz="0" w:space="0" w:color="auto"/>
            <w:left w:val="none" w:sz="0" w:space="0" w:color="auto"/>
            <w:bottom w:val="none" w:sz="0" w:space="0" w:color="auto"/>
            <w:right w:val="none" w:sz="0" w:space="0" w:color="auto"/>
          </w:divBdr>
        </w:div>
        <w:div w:id="536504399">
          <w:marLeft w:val="878"/>
          <w:marRight w:val="0"/>
          <w:marTop w:val="115"/>
          <w:marBottom w:val="0"/>
          <w:divBdr>
            <w:top w:val="none" w:sz="0" w:space="0" w:color="auto"/>
            <w:left w:val="none" w:sz="0" w:space="0" w:color="auto"/>
            <w:bottom w:val="none" w:sz="0" w:space="0" w:color="auto"/>
            <w:right w:val="none" w:sz="0" w:space="0" w:color="auto"/>
          </w:divBdr>
        </w:div>
        <w:div w:id="2106805866">
          <w:marLeft w:val="878"/>
          <w:marRight w:val="0"/>
          <w:marTop w:val="115"/>
          <w:marBottom w:val="0"/>
          <w:divBdr>
            <w:top w:val="none" w:sz="0" w:space="0" w:color="auto"/>
            <w:left w:val="none" w:sz="0" w:space="0" w:color="auto"/>
            <w:bottom w:val="none" w:sz="0" w:space="0" w:color="auto"/>
            <w:right w:val="none" w:sz="0" w:space="0" w:color="auto"/>
          </w:divBdr>
        </w:div>
      </w:divsChild>
    </w:div>
    <w:div w:id="1497108404">
      <w:bodyDiv w:val="1"/>
      <w:marLeft w:val="0"/>
      <w:marRight w:val="0"/>
      <w:marTop w:val="0"/>
      <w:marBottom w:val="0"/>
      <w:divBdr>
        <w:top w:val="none" w:sz="0" w:space="0" w:color="auto"/>
        <w:left w:val="none" w:sz="0" w:space="0" w:color="auto"/>
        <w:bottom w:val="none" w:sz="0" w:space="0" w:color="auto"/>
        <w:right w:val="none" w:sz="0" w:space="0" w:color="auto"/>
      </w:divBdr>
      <w:divsChild>
        <w:div w:id="1202134571">
          <w:marLeft w:val="878"/>
          <w:marRight w:val="0"/>
          <w:marTop w:val="77"/>
          <w:marBottom w:val="0"/>
          <w:divBdr>
            <w:top w:val="none" w:sz="0" w:space="0" w:color="auto"/>
            <w:left w:val="none" w:sz="0" w:space="0" w:color="auto"/>
            <w:bottom w:val="none" w:sz="0" w:space="0" w:color="auto"/>
            <w:right w:val="none" w:sz="0" w:space="0" w:color="auto"/>
          </w:divBdr>
        </w:div>
        <w:div w:id="1953979625">
          <w:marLeft w:val="878"/>
          <w:marRight w:val="0"/>
          <w:marTop w:val="77"/>
          <w:marBottom w:val="0"/>
          <w:divBdr>
            <w:top w:val="none" w:sz="0" w:space="0" w:color="auto"/>
            <w:left w:val="none" w:sz="0" w:space="0" w:color="auto"/>
            <w:bottom w:val="none" w:sz="0" w:space="0" w:color="auto"/>
            <w:right w:val="none" w:sz="0" w:space="0" w:color="auto"/>
          </w:divBdr>
        </w:div>
        <w:div w:id="1962302710">
          <w:marLeft w:val="403"/>
          <w:marRight w:val="0"/>
          <w:marTop w:val="96"/>
          <w:marBottom w:val="0"/>
          <w:divBdr>
            <w:top w:val="none" w:sz="0" w:space="0" w:color="auto"/>
            <w:left w:val="none" w:sz="0" w:space="0" w:color="auto"/>
            <w:bottom w:val="none" w:sz="0" w:space="0" w:color="auto"/>
            <w:right w:val="none" w:sz="0" w:space="0" w:color="auto"/>
          </w:divBdr>
        </w:div>
      </w:divsChild>
    </w:div>
    <w:div w:id="1570574940">
      <w:bodyDiv w:val="1"/>
      <w:marLeft w:val="0"/>
      <w:marRight w:val="0"/>
      <w:marTop w:val="0"/>
      <w:marBottom w:val="0"/>
      <w:divBdr>
        <w:top w:val="none" w:sz="0" w:space="0" w:color="auto"/>
        <w:left w:val="none" w:sz="0" w:space="0" w:color="auto"/>
        <w:bottom w:val="none" w:sz="0" w:space="0" w:color="auto"/>
        <w:right w:val="none" w:sz="0" w:space="0" w:color="auto"/>
      </w:divBdr>
    </w:div>
    <w:div w:id="1571576065">
      <w:bodyDiv w:val="1"/>
      <w:marLeft w:val="0"/>
      <w:marRight w:val="0"/>
      <w:marTop w:val="0"/>
      <w:marBottom w:val="0"/>
      <w:divBdr>
        <w:top w:val="none" w:sz="0" w:space="0" w:color="auto"/>
        <w:left w:val="none" w:sz="0" w:space="0" w:color="auto"/>
        <w:bottom w:val="none" w:sz="0" w:space="0" w:color="auto"/>
        <w:right w:val="none" w:sz="0" w:space="0" w:color="auto"/>
      </w:divBdr>
    </w:div>
    <w:div w:id="1646661842">
      <w:bodyDiv w:val="1"/>
      <w:marLeft w:val="0"/>
      <w:marRight w:val="0"/>
      <w:marTop w:val="0"/>
      <w:marBottom w:val="0"/>
      <w:divBdr>
        <w:top w:val="none" w:sz="0" w:space="0" w:color="auto"/>
        <w:left w:val="none" w:sz="0" w:space="0" w:color="auto"/>
        <w:bottom w:val="none" w:sz="0" w:space="0" w:color="auto"/>
        <w:right w:val="none" w:sz="0" w:space="0" w:color="auto"/>
      </w:divBdr>
    </w:div>
    <w:div w:id="1646662634">
      <w:bodyDiv w:val="1"/>
      <w:marLeft w:val="0"/>
      <w:marRight w:val="0"/>
      <w:marTop w:val="0"/>
      <w:marBottom w:val="0"/>
      <w:divBdr>
        <w:top w:val="none" w:sz="0" w:space="0" w:color="auto"/>
        <w:left w:val="none" w:sz="0" w:space="0" w:color="auto"/>
        <w:bottom w:val="none" w:sz="0" w:space="0" w:color="auto"/>
        <w:right w:val="none" w:sz="0" w:space="0" w:color="auto"/>
      </w:divBdr>
    </w:div>
    <w:div w:id="1697659559">
      <w:bodyDiv w:val="1"/>
      <w:marLeft w:val="0"/>
      <w:marRight w:val="0"/>
      <w:marTop w:val="0"/>
      <w:marBottom w:val="0"/>
      <w:divBdr>
        <w:top w:val="none" w:sz="0" w:space="0" w:color="auto"/>
        <w:left w:val="none" w:sz="0" w:space="0" w:color="auto"/>
        <w:bottom w:val="none" w:sz="0" w:space="0" w:color="auto"/>
        <w:right w:val="none" w:sz="0" w:space="0" w:color="auto"/>
      </w:divBdr>
      <w:divsChild>
        <w:div w:id="1216089805">
          <w:marLeft w:val="403"/>
          <w:marRight w:val="0"/>
          <w:marTop w:val="96"/>
          <w:marBottom w:val="0"/>
          <w:divBdr>
            <w:top w:val="none" w:sz="0" w:space="0" w:color="auto"/>
            <w:left w:val="none" w:sz="0" w:space="0" w:color="auto"/>
            <w:bottom w:val="none" w:sz="0" w:space="0" w:color="auto"/>
            <w:right w:val="none" w:sz="0" w:space="0" w:color="auto"/>
          </w:divBdr>
        </w:div>
      </w:divsChild>
    </w:div>
    <w:div w:id="1757894458">
      <w:bodyDiv w:val="1"/>
      <w:marLeft w:val="0"/>
      <w:marRight w:val="0"/>
      <w:marTop w:val="0"/>
      <w:marBottom w:val="0"/>
      <w:divBdr>
        <w:top w:val="none" w:sz="0" w:space="0" w:color="auto"/>
        <w:left w:val="none" w:sz="0" w:space="0" w:color="auto"/>
        <w:bottom w:val="none" w:sz="0" w:space="0" w:color="auto"/>
        <w:right w:val="none" w:sz="0" w:space="0" w:color="auto"/>
      </w:divBdr>
      <w:divsChild>
        <w:div w:id="568156614">
          <w:marLeft w:val="878"/>
          <w:marRight w:val="0"/>
          <w:marTop w:val="77"/>
          <w:marBottom w:val="0"/>
          <w:divBdr>
            <w:top w:val="none" w:sz="0" w:space="0" w:color="auto"/>
            <w:left w:val="none" w:sz="0" w:space="0" w:color="auto"/>
            <w:bottom w:val="none" w:sz="0" w:space="0" w:color="auto"/>
            <w:right w:val="none" w:sz="0" w:space="0" w:color="auto"/>
          </w:divBdr>
        </w:div>
        <w:div w:id="1110976175">
          <w:marLeft w:val="878"/>
          <w:marRight w:val="0"/>
          <w:marTop w:val="77"/>
          <w:marBottom w:val="0"/>
          <w:divBdr>
            <w:top w:val="none" w:sz="0" w:space="0" w:color="auto"/>
            <w:left w:val="none" w:sz="0" w:space="0" w:color="auto"/>
            <w:bottom w:val="none" w:sz="0" w:space="0" w:color="auto"/>
            <w:right w:val="none" w:sz="0" w:space="0" w:color="auto"/>
          </w:divBdr>
        </w:div>
        <w:div w:id="1426070338">
          <w:marLeft w:val="403"/>
          <w:marRight w:val="0"/>
          <w:marTop w:val="96"/>
          <w:marBottom w:val="0"/>
          <w:divBdr>
            <w:top w:val="none" w:sz="0" w:space="0" w:color="auto"/>
            <w:left w:val="none" w:sz="0" w:space="0" w:color="auto"/>
            <w:bottom w:val="none" w:sz="0" w:space="0" w:color="auto"/>
            <w:right w:val="none" w:sz="0" w:space="0" w:color="auto"/>
          </w:divBdr>
        </w:div>
        <w:div w:id="1879201003">
          <w:marLeft w:val="878"/>
          <w:marRight w:val="0"/>
          <w:marTop w:val="77"/>
          <w:marBottom w:val="0"/>
          <w:divBdr>
            <w:top w:val="none" w:sz="0" w:space="0" w:color="auto"/>
            <w:left w:val="none" w:sz="0" w:space="0" w:color="auto"/>
            <w:bottom w:val="none" w:sz="0" w:space="0" w:color="auto"/>
            <w:right w:val="none" w:sz="0" w:space="0" w:color="auto"/>
          </w:divBdr>
        </w:div>
      </w:divsChild>
    </w:div>
    <w:div w:id="189262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0" ma:contentTypeDescription="Create a new document." ma:contentTypeScope="" ma:versionID="e6c22eacb9796528aa7d51b86e09a3a0">
  <xsd:schema xmlns:xsd="http://www.w3.org/2001/XMLSchema" xmlns:xs="http://www.w3.org/2001/XMLSchema" xmlns:p="http://schemas.microsoft.com/office/2006/metadata/properties" xmlns:ns3="74e46bd8-2d3a-46c4-a507-7dab1b7d08c1" targetNamespace="http://schemas.microsoft.com/office/2006/metadata/properties" ma:root="true" ma:fieldsID="c496ed19cf8e2a68d0e8d2a37def6c1c" ns3:_="">
    <xsd:import namespace="74e46bd8-2d3a-46c4-a507-7dab1b7d08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1CBE8-965D-4836-913A-408A1FE8A458}">
  <ds:schemaRefs>
    <ds:schemaRef ds:uri="http://schemas.microsoft.com/sharepoint/v3/contenttype/forms"/>
  </ds:schemaRefs>
</ds:datastoreItem>
</file>

<file path=customXml/itemProps2.xml><?xml version="1.0" encoding="utf-8"?>
<ds:datastoreItem xmlns:ds="http://schemas.openxmlformats.org/officeDocument/2006/customXml" ds:itemID="{FE9A9860-A053-44E6-A5AC-E3B394741C7C}">
  <ds:schemaRefs>
    <ds:schemaRef ds:uri="http://purl.org/dc/terms/"/>
    <ds:schemaRef ds:uri="74e46bd8-2d3a-46c4-a507-7dab1b7d08c1"/>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317F139-82B2-48EB-B3F0-CA7974BBF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671BCD-E1C8-4B2A-BBD3-92C92CCA8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1523</Words>
  <Characters>8769</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BBC R&amp;D</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Murphy</dc:creator>
  <cp:keywords/>
  <cp:lastModifiedBy>Ayan Sengupta</cp:lastModifiedBy>
  <cp:revision>2</cp:revision>
  <cp:lastPrinted>2019-02-14T20:28:00Z</cp:lastPrinted>
  <dcterms:created xsi:type="dcterms:W3CDTF">2019-11-09T03:35:00Z</dcterms:created>
  <dcterms:modified xsi:type="dcterms:W3CDTF">2019-11-09T03:35:00Z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